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23BD" w14:textId="77777777" w:rsidR="00E45D69" w:rsidRDefault="00E45D69"/>
    <w:p w14:paraId="626DE9F1" w14:textId="77777777" w:rsidR="00097BFF" w:rsidRDefault="00097BFF" w:rsidP="00097BFF">
      <w:pPr>
        <w:pStyle w:val="Heading1"/>
        <w:spacing w:before="0" w:line="240" w:lineRule="auto"/>
        <w:rPr>
          <w:b/>
          <w:bCs/>
          <w:color w:val="990033"/>
        </w:rPr>
      </w:pPr>
      <w:r>
        <w:rPr>
          <w:b/>
          <w:bCs/>
          <w:color w:val="990033"/>
        </w:rPr>
        <w:t>Coding Instruction</w:t>
      </w:r>
      <w:r w:rsidR="0092623C">
        <w:rPr>
          <w:b/>
          <w:bCs/>
          <w:color w:val="990033"/>
        </w:rPr>
        <w:t>s</w:t>
      </w:r>
      <w:r>
        <w:rPr>
          <w:b/>
          <w:bCs/>
          <w:color w:val="990033"/>
        </w:rPr>
        <w:t>:</w:t>
      </w:r>
    </w:p>
    <w:p w14:paraId="2DB4AC0D" w14:textId="77777777" w:rsidR="00B76CCD" w:rsidRDefault="00097BFF" w:rsidP="00097BFF">
      <w:pPr>
        <w:rPr>
          <w:sz w:val="24"/>
          <w:szCs w:val="24"/>
        </w:rPr>
      </w:pPr>
      <w:r>
        <w:rPr>
          <w:sz w:val="24"/>
          <w:szCs w:val="24"/>
        </w:rPr>
        <w:t>Capture the last Clinical Frailty Scale score documented by the surgeon or advanced practice provider prior to the start of the operative procedure</w:t>
      </w:r>
      <w:r w:rsidR="00D60042">
        <w:rPr>
          <w:sz w:val="24"/>
          <w:szCs w:val="24"/>
        </w:rPr>
        <w:t>.</w:t>
      </w:r>
      <w:r w:rsidR="007A0983">
        <w:rPr>
          <w:sz w:val="24"/>
          <w:szCs w:val="24"/>
        </w:rPr>
        <w:t xml:space="preserve">  If a score is documented by both a surgeon and an APP, capture the score documented by the surgeon.</w:t>
      </w:r>
      <w:r w:rsidR="00D60042">
        <w:rPr>
          <w:sz w:val="24"/>
          <w:szCs w:val="24"/>
        </w:rPr>
        <w:t xml:space="preserve">  </w:t>
      </w:r>
    </w:p>
    <w:p w14:paraId="07393EFA" w14:textId="77777777" w:rsidR="004873FE" w:rsidRDefault="004873FE" w:rsidP="004873FE">
      <w:pPr>
        <w:pStyle w:val="Heading1"/>
        <w:spacing w:before="0" w:line="240" w:lineRule="auto"/>
        <w:rPr>
          <w:b/>
          <w:bCs/>
          <w:color w:val="990033"/>
        </w:rPr>
      </w:pPr>
      <w:r>
        <w:rPr>
          <w:b/>
          <w:bCs/>
          <w:color w:val="990033"/>
        </w:rPr>
        <w:t>Intent, Clarification, and FAQ:</w:t>
      </w:r>
    </w:p>
    <w:p w14:paraId="3A319E8A" w14:textId="7AD99372" w:rsidR="007A0983" w:rsidRDefault="004873FE" w:rsidP="007A0983">
      <w:pPr>
        <w:spacing w:line="240" w:lineRule="auto"/>
        <w:rPr>
          <w:sz w:val="24"/>
          <w:szCs w:val="24"/>
        </w:rPr>
      </w:pPr>
      <w:r w:rsidRPr="004873FE">
        <w:rPr>
          <w:b/>
          <w:bCs/>
          <w:sz w:val="24"/>
          <w:szCs w:val="24"/>
        </w:rPr>
        <w:t>Q:</w:t>
      </w:r>
      <w:r>
        <w:rPr>
          <w:sz w:val="24"/>
          <w:szCs w:val="24"/>
        </w:rPr>
        <w:t xml:space="preserve">  </w:t>
      </w:r>
      <w:r w:rsidRPr="004873FE">
        <w:rPr>
          <w:i/>
          <w:iCs/>
          <w:sz w:val="24"/>
          <w:szCs w:val="24"/>
        </w:rPr>
        <w:t xml:space="preserve">Should the score be based on the patient’s baseline </w:t>
      </w:r>
      <w:proofErr w:type="gramStart"/>
      <w:r w:rsidRPr="004873FE">
        <w:rPr>
          <w:i/>
          <w:iCs/>
          <w:sz w:val="24"/>
          <w:szCs w:val="24"/>
        </w:rPr>
        <w:t>status,</w:t>
      </w:r>
      <w:r w:rsidR="00A56206">
        <w:rPr>
          <w:i/>
          <w:iCs/>
          <w:sz w:val="24"/>
          <w:szCs w:val="24"/>
        </w:rPr>
        <w:t xml:space="preserve"> </w:t>
      </w:r>
      <w:r w:rsidRPr="004873FE">
        <w:rPr>
          <w:i/>
          <w:iCs/>
          <w:sz w:val="24"/>
          <w:szCs w:val="24"/>
        </w:rPr>
        <w:t>or</w:t>
      </w:r>
      <w:proofErr w:type="gramEnd"/>
      <w:r w:rsidRPr="004873FE">
        <w:rPr>
          <w:i/>
          <w:iCs/>
          <w:sz w:val="24"/>
          <w:szCs w:val="24"/>
        </w:rPr>
        <w:t xml:space="preserve"> should new and acute symptoms related to their current cardiac surgical procedure be considered?</w:t>
      </w:r>
      <w:r>
        <w:rPr>
          <w:sz w:val="24"/>
          <w:szCs w:val="24"/>
        </w:rPr>
        <w:br/>
      </w:r>
      <w:r w:rsidRPr="004873FE">
        <w:rPr>
          <w:b/>
          <w:bCs/>
          <w:sz w:val="24"/>
          <w:szCs w:val="24"/>
        </w:rPr>
        <w:t>A:</w:t>
      </w:r>
      <w:r>
        <w:rPr>
          <w:sz w:val="24"/>
          <w:szCs w:val="24"/>
        </w:rPr>
        <w:t xml:space="preserve">  The intent is to capture the patient’s baseline health status (two weeks ago).  The baseline health state is what the person was like before any acute events.     </w:t>
      </w:r>
      <w:bookmarkStart w:id="0" w:name="_Hlk155339649"/>
    </w:p>
    <w:p w14:paraId="1C9BE3EF" w14:textId="77777777" w:rsidR="007A0983" w:rsidRDefault="004873FE" w:rsidP="007A0983">
      <w:pPr>
        <w:spacing w:line="240" w:lineRule="auto"/>
        <w:rPr>
          <w:sz w:val="24"/>
          <w:szCs w:val="24"/>
        </w:rPr>
      </w:pPr>
      <w:r w:rsidRPr="004873FE">
        <w:rPr>
          <w:b/>
          <w:bCs/>
          <w:sz w:val="24"/>
          <w:szCs w:val="24"/>
        </w:rPr>
        <w:t>Q:</w:t>
      </w:r>
      <w:r>
        <w:rPr>
          <w:sz w:val="24"/>
          <w:szCs w:val="24"/>
        </w:rPr>
        <w:t xml:space="preserve">  </w:t>
      </w:r>
      <w:r>
        <w:rPr>
          <w:i/>
          <w:iCs/>
          <w:sz w:val="24"/>
          <w:szCs w:val="24"/>
        </w:rPr>
        <w:t>Can the data abstractor infer the score based on clinical documentation?</w:t>
      </w:r>
      <w:r>
        <w:rPr>
          <w:sz w:val="24"/>
          <w:szCs w:val="24"/>
        </w:rPr>
        <w:br/>
      </w:r>
      <w:r w:rsidRPr="004873FE">
        <w:rPr>
          <w:b/>
          <w:bCs/>
          <w:sz w:val="24"/>
          <w:szCs w:val="24"/>
        </w:rPr>
        <w:t>A:</w:t>
      </w:r>
      <w:r>
        <w:rPr>
          <w:sz w:val="24"/>
          <w:szCs w:val="24"/>
        </w:rPr>
        <w:t xml:space="preserve">  No.  A score must be documented by a physician or advanced practice provider.  </w:t>
      </w:r>
    </w:p>
    <w:bookmarkEnd w:id="0"/>
    <w:p w14:paraId="23840C76" w14:textId="77777777" w:rsidR="007A0983" w:rsidRDefault="007A0983" w:rsidP="0092623C">
      <w:pPr>
        <w:pStyle w:val="Heading1"/>
        <w:spacing w:before="0" w:line="240" w:lineRule="auto"/>
        <w:rPr>
          <w:b/>
          <w:bCs/>
          <w:color w:val="990033"/>
        </w:rPr>
      </w:pPr>
    </w:p>
    <w:p w14:paraId="1BDECD08" w14:textId="77777777" w:rsidR="00097BFF" w:rsidRPr="0092623C" w:rsidRDefault="00E45D69" w:rsidP="0092623C">
      <w:pPr>
        <w:pStyle w:val="Heading1"/>
        <w:spacing w:before="0" w:line="240" w:lineRule="auto"/>
        <w:rPr>
          <w:b/>
          <w:bCs/>
          <w:color w:val="990033"/>
        </w:rPr>
      </w:pPr>
      <w:r>
        <w:rPr>
          <w:b/>
          <w:bCs/>
          <w:color w:val="990033"/>
        </w:rPr>
        <w:t>Data Collection</w:t>
      </w:r>
      <w:r w:rsidR="00097BFF">
        <w:rPr>
          <w:b/>
          <w:bCs/>
          <w:color w:val="990033"/>
        </w:rPr>
        <w:t xml:space="preserve"> and Submission Processes:</w:t>
      </w:r>
    </w:p>
    <w:p w14:paraId="4D6C6E4B" w14:textId="77777777" w:rsidR="00E45D69" w:rsidRDefault="00097BFF" w:rsidP="00E45D69">
      <w:pPr>
        <w:rPr>
          <w:sz w:val="24"/>
          <w:szCs w:val="24"/>
        </w:rPr>
      </w:pPr>
      <w:r w:rsidRPr="00F76EEA">
        <w:rPr>
          <w:b/>
          <w:bCs/>
          <w:sz w:val="24"/>
          <w:szCs w:val="24"/>
        </w:rPr>
        <w:t>Hospitals using ARMUS STS software:</w:t>
      </w:r>
      <w:r w:rsidR="00DC4A67">
        <w:rPr>
          <w:sz w:val="24"/>
          <w:szCs w:val="24"/>
        </w:rPr>
        <w:t xml:space="preserve">  </w:t>
      </w:r>
      <w:r w:rsidR="002B7D5E">
        <w:rPr>
          <w:sz w:val="24"/>
          <w:szCs w:val="24"/>
        </w:rPr>
        <w:t>A custom field will be added by ARMUS for your use.</w:t>
      </w:r>
    </w:p>
    <w:p w14:paraId="53D00A89" w14:textId="7B9CFD89" w:rsidR="00DE64BF" w:rsidRDefault="00097BFF" w:rsidP="00E45D69">
      <w:pPr>
        <w:rPr>
          <w:sz w:val="24"/>
          <w:szCs w:val="24"/>
        </w:rPr>
      </w:pPr>
      <w:r w:rsidRPr="00F76EEA">
        <w:rPr>
          <w:b/>
          <w:bCs/>
          <w:sz w:val="24"/>
          <w:szCs w:val="24"/>
        </w:rPr>
        <w:t>Hospitals using other STS software:</w:t>
      </w:r>
      <w:r w:rsidR="002B7D5E" w:rsidRPr="00F76EEA">
        <w:rPr>
          <w:b/>
          <w:bCs/>
          <w:sz w:val="24"/>
          <w:szCs w:val="24"/>
        </w:rPr>
        <w:t xml:space="preserve">  </w:t>
      </w:r>
      <w:r w:rsidR="002B7D5E">
        <w:rPr>
          <w:sz w:val="24"/>
          <w:szCs w:val="24"/>
        </w:rPr>
        <w:t>An Excel spreadsheet template will be provided to collect the CSF for submission to the MSTCVS QC Coordinating Center.</w:t>
      </w:r>
      <w:r w:rsidR="004C514A">
        <w:rPr>
          <w:sz w:val="24"/>
          <w:szCs w:val="24"/>
        </w:rPr>
        <w:t xml:space="preserve">  </w:t>
      </w:r>
      <w:r w:rsidR="004C514A" w:rsidRPr="004C514A">
        <w:rPr>
          <w:color w:val="FF0000"/>
          <w:sz w:val="24"/>
          <w:szCs w:val="24"/>
        </w:rPr>
        <w:t>Please ensure the file is sent via a secure method.</w:t>
      </w:r>
    </w:p>
    <w:p w14:paraId="6F311B0F" w14:textId="2CA08585" w:rsidR="00DC4A67" w:rsidRPr="00DE64BF" w:rsidRDefault="00DE64BF" w:rsidP="00E45D69">
      <w:pPr>
        <w:rPr>
          <w:b/>
          <w:bCs/>
          <w:sz w:val="24"/>
          <w:szCs w:val="24"/>
        </w:rPr>
      </w:pPr>
      <w:r w:rsidRPr="00DE64BF">
        <w:rPr>
          <w:b/>
          <w:bCs/>
          <w:sz w:val="24"/>
          <w:szCs w:val="24"/>
        </w:rPr>
        <w:t xml:space="preserve">Clinical Frailty Score data is to be submitted </w:t>
      </w:r>
      <w:r w:rsidR="004C514A">
        <w:rPr>
          <w:b/>
          <w:bCs/>
          <w:sz w:val="24"/>
          <w:szCs w:val="24"/>
        </w:rPr>
        <w:t xml:space="preserve">to the MSTCVS Coordinating Center </w:t>
      </w:r>
      <w:r w:rsidRPr="00DE64BF">
        <w:rPr>
          <w:b/>
          <w:bCs/>
          <w:sz w:val="24"/>
          <w:szCs w:val="24"/>
        </w:rPr>
        <w:t>quarterly, aligning with the STS data harvest submission deadline.</w:t>
      </w:r>
      <w:r w:rsidR="002B7D5E" w:rsidRPr="00DE64BF">
        <w:rPr>
          <w:b/>
          <w:bCs/>
          <w:sz w:val="24"/>
          <w:szCs w:val="24"/>
        </w:rPr>
        <w:br/>
      </w:r>
    </w:p>
    <w:p w14:paraId="49E800DD" w14:textId="77777777" w:rsidR="00DA48E2" w:rsidRDefault="00DA48E2">
      <w:pPr>
        <w:rPr>
          <w:rFonts w:asciiTheme="majorHAnsi" w:eastAsiaTheme="majorEastAsia" w:hAnsiTheme="majorHAnsi" w:cstheme="majorBidi"/>
          <w:b/>
          <w:bCs/>
          <w:color w:val="990033"/>
          <w:sz w:val="32"/>
          <w:szCs w:val="32"/>
        </w:rPr>
      </w:pPr>
      <w:r>
        <w:rPr>
          <w:b/>
          <w:bCs/>
          <w:color w:val="990033"/>
        </w:rPr>
        <w:br w:type="page"/>
      </w:r>
    </w:p>
    <w:p w14:paraId="64760635" w14:textId="77777777" w:rsidR="00B3715B" w:rsidRDefault="00B3715B" w:rsidP="00B3715B">
      <w:pPr>
        <w:pStyle w:val="Heading1"/>
        <w:spacing w:before="0" w:line="240" w:lineRule="auto"/>
        <w:rPr>
          <w:b/>
          <w:bCs/>
          <w:color w:val="990033"/>
        </w:rPr>
      </w:pPr>
    </w:p>
    <w:p w14:paraId="1ED91CFC" w14:textId="77777777" w:rsidR="00B3715B" w:rsidRPr="00B3715B" w:rsidRDefault="00B3715B" w:rsidP="00B3715B">
      <w:pPr>
        <w:pStyle w:val="Heading1"/>
        <w:spacing w:before="0" w:line="240" w:lineRule="auto"/>
        <w:rPr>
          <w:b/>
          <w:bCs/>
          <w:color w:val="990033"/>
        </w:rPr>
      </w:pPr>
      <w:r>
        <w:rPr>
          <w:b/>
          <w:bCs/>
          <w:color w:val="990033"/>
        </w:rPr>
        <w:t>REDCap Variables</w:t>
      </w:r>
      <w:r>
        <w:rPr>
          <w:b/>
          <w:bCs/>
          <w:color w:val="990033"/>
        </w:rPr>
        <w:br/>
      </w:r>
    </w:p>
    <w:p w14:paraId="0A39C172"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w:t>
      </w:r>
      <w:r>
        <w:rPr>
          <w:b/>
          <w:color w:val="000000" w:themeColor="text1"/>
        </w:rPr>
        <w:t xml:space="preserve"> 1</w:t>
      </w:r>
    </w:p>
    <w:p w14:paraId="64BEFA58"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 xml:space="preserve">Long Name:  </w:t>
      </w:r>
      <w:r>
        <w:rPr>
          <w:b/>
          <w:color w:val="000000" w:themeColor="text1"/>
        </w:rPr>
        <w:t>REDCap Record ID</w:t>
      </w:r>
    </w:p>
    <w:p w14:paraId="0D96EA33"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Pr>
          <w:b/>
          <w:color w:val="000000" w:themeColor="text1"/>
        </w:rPr>
        <w:t>record_id</w:t>
      </w:r>
    </w:p>
    <w:p w14:paraId="71A34D0A"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 xml:space="preserve">Field Type:  </w:t>
      </w:r>
      <w:r>
        <w:rPr>
          <w:b/>
          <w:color w:val="000000" w:themeColor="text1"/>
        </w:rPr>
        <w:t>Auto Populated Text</w:t>
      </w:r>
    </w:p>
    <w:p w14:paraId="20CF6069" w14:textId="77777777" w:rsidR="00B3715B" w:rsidRPr="006D3CB9" w:rsidRDefault="00B3715B" w:rsidP="00B3715B">
      <w:pPr>
        <w:suppressAutoHyphens/>
        <w:spacing w:after="0" w:line="240" w:lineRule="auto"/>
        <w:contextualSpacing/>
        <w:rPr>
          <w:b/>
          <w:color w:val="000000" w:themeColor="text1"/>
        </w:rPr>
      </w:pPr>
    </w:p>
    <w:p w14:paraId="4EB265A6" w14:textId="77777777" w:rsidR="00B3715B" w:rsidRPr="006D3CB9" w:rsidRDefault="00B3715B" w:rsidP="00B3715B">
      <w:pPr>
        <w:pStyle w:val="BodyText"/>
        <w:suppressAutoHyphens/>
        <w:contextualSpacing/>
        <w:rPr>
          <w:color w:val="000000" w:themeColor="text1"/>
        </w:rPr>
      </w:pPr>
      <w:r w:rsidRPr="006D3CB9">
        <w:rPr>
          <w:b/>
          <w:color w:val="000000" w:themeColor="text1"/>
        </w:rPr>
        <w:t xml:space="preserve">Definition: </w:t>
      </w:r>
      <w:r>
        <w:rPr>
          <w:color w:val="000000" w:themeColor="text1"/>
        </w:rPr>
        <w:t>Unique value generated by the REDCap software that identifies each record in the database.</w:t>
      </w:r>
      <w:r w:rsidRPr="006D3CB9">
        <w:rPr>
          <w:color w:val="000000" w:themeColor="text1"/>
        </w:rPr>
        <w:t xml:space="preserve"> </w:t>
      </w:r>
    </w:p>
    <w:p w14:paraId="2CF2726A" w14:textId="77777777" w:rsidR="00B3715B" w:rsidRPr="006D3CB9" w:rsidRDefault="00B3715B" w:rsidP="00B3715B">
      <w:pPr>
        <w:pStyle w:val="BodyText"/>
        <w:suppressAutoHyphens/>
        <w:contextualSpacing/>
        <w:rPr>
          <w:color w:val="000000" w:themeColor="text1"/>
        </w:rPr>
      </w:pPr>
      <w:r w:rsidRPr="006D3CB9">
        <w:rPr>
          <w:color w:val="000000" w:themeColor="text1"/>
        </w:rPr>
        <w:t>----------------------------------------------------------------------------------------------------------------------------------------</w:t>
      </w:r>
    </w:p>
    <w:p w14:paraId="6C1C0F91"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w:t>
      </w:r>
      <w:r>
        <w:rPr>
          <w:b/>
          <w:color w:val="000000" w:themeColor="text1"/>
        </w:rPr>
        <w:t xml:space="preserve"> 2</w:t>
      </w:r>
    </w:p>
    <w:p w14:paraId="0B8E1D53" w14:textId="77777777" w:rsidR="00B3715B" w:rsidRPr="00B3715B" w:rsidRDefault="00B3715B" w:rsidP="00B3715B">
      <w:pPr>
        <w:suppressAutoHyphens/>
        <w:spacing w:after="0" w:line="240" w:lineRule="auto"/>
        <w:contextualSpacing/>
        <w:rPr>
          <w:b/>
          <w:color w:val="000000" w:themeColor="text1"/>
        </w:rPr>
      </w:pPr>
      <w:r w:rsidRPr="00B3715B">
        <w:rPr>
          <w:b/>
          <w:color w:val="000000" w:themeColor="text1"/>
        </w:rPr>
        <w:t xml:space="preserve">Long Name:  </w:t>
      </w:r>
      <w:r>
        <w:rPr>
          <w:b/>
          <w:color w:val="000000" w:themeColor="text1"/>
        </w:rPr>
        <w:t>STS Participant ID</w:t>
      </w:r>
    </w:p>
    <w:p w14:paraId="66079F24" w14:textId="77777777" w:rsidR="00B3715B" w:rsidRPr="00B3715B" w:rsidRDefault="00B3715B" w:rsidP="00B3715B">
      <w:pPr>
        <w:suppressAutoHyphens/>
        <w:spacing w:after="0" w:line="240" w:lineRule="auto"/>
        <w:contextualSpacing/>
        <w:rPr>
          <w:b/>
          <w:color w:val="000000" w:themeColor="text1"/>
        </w:rPr>
      </w:pPr>
      <w:r w:rsidRPr="00B3715B">
        <w:rPr>
          <w:b/>
          <w:color w:val="000000" w:themeColor="text1"/>
        </w:rPr>
        <w:t>Short Name:</w:t>
      </w:r>
      <w:r w:rsidRPr="00B3715B">
        <w:rPr>
          <w:b/>
          <w:color w:val="000000" w:themeColor="text1"/>
          <w:spacing w:val="-7"/>
        </w:rPr>
        <w:t xml:space="preserve">  </w:t>
      </w:r>
      <w:r>
        <w:rPr>
          <w:b/>
          <w:color w:val="000000" w:themeColor="text1"/>
        </w:rPr>
        <w:t>sts_part_id</w:t>
      </w:r>
    </w:p>
    <w:p w14:paraId="4D710570" w14:textId="77777777" w:rsidR="00B3715B" w:rsidRPr="00B3715B" w:rsidRDefault="00B3715B" w:rsidP="00B3715B">
      <w:pPr>
        <w:suppressAutoHyphens/>
        <w:spacing w:after="0" w:line="240" w:lineRule="auto"/>
        <w:contextualSpacing/>
        <w:rPr>
          <w:b/>
          <w:color w:val="000000" w:themeColor="text1"/>
        </w:rPr>
      </w:pPr>
      <w:r w:rsidRPr="00B3715B">
        <w:rPr>
          <w:b/>
          <w:color w:val="000000" w:themeColor="text1"/>
        </w:rPr>
        <w:t xml:space="preserve">Field Type:  </w:t>
      </w:r>
      <w:r>
        <w:rPr>
          <w:b/>
          <w:color w:val="000000" w:themeColor="text1"/>
        </w:rPr>
        <w:t>Text</w:t>
      </w:r>
    </w:p>
    <w:p w14:paraId="03EA7FF8" w14:textId="77777777" w:rsidR="00B3715B" w:rsidRPr="00B3715B" w:rsidRDefault="00B3715B" w:rsidP="00B3715B">
      <w:pPr>
        <w:suppressAutoHyphens/>
        <w:spacing w:after="0" w:line="240" w:lineRule="auto"/>
        <w:contextualSpacing/>
        <w:rPr>
          <w:b/>
          <w:color w:val="000000" w:themeColor="text1"/>
        </w:rPr>
      </w:pPr>
    </w:p>
    <w:p w14:paraId="563BFE3F" w14:textId="77777777" w:rsidR="00B3715B" w:rsidRPr="00B3715B" w:rsidRDefault="00B3715B" w:rsidP="00B3715B">
      <w:pPr>
        <w:pStyle w:val="BodyText"/>
        <w:suppressAutoHyphens/>
        <w:contextualSpacing/>
        <w:rPr>
          <w:color w:val="000000" w:themeColor="text1"/>
        </w:rPr>
      </w:pPr>
      <w:r w:rsidRPr="00B3715B">
        <w:rPr>
          <w:b/>
          <w:color w:val="000000" w:themeColor="text1"/>
        </w:rPr>
        <w:t xml:space="preserve">Definition: </w:t>
      </w:r>
      <w:r w:rsidRPr="00B3715B">
        <w:rPr>
          <w:color w:val="000000" w:themeColor="text1"/>
        </w:rPr>
        <w:t xml:space="preserve">Indicate the </w:t>
      </w:r>
      <w:r>
        <w:rPr>
          <w:color w:val="000000" w:themeColor="text1"/>
        </w:rPr>
        <w:t>STS Participant ID</w:t>
      </w:r>
      <w:r w:rsidRPr="00B3715B">
        <w:rPr>
          <w:color w:val="000000" w:themeColor="text1"/>
        </w:rPr>
        <w:t xml:space="preserve"> where the procedure was performed. </w:t>
      </w:r>
    </w:p>
    <w:p w14:paraId="569596B8" w14:textId="77777777" w:rsidR="00B3715B" w:rsidRPr="00B3715B" w:rsidRDefault="00B3715B" w:rsidP="00B3715B">
      <w:pPr>
        <w:pStyle w:val="BodyText"/>
        <w:suppressAutoHyphens/>
        <w:contextualSpacing/>
        <w:rPr>
          <w:color w:val="000000" w:themeColor="text1"/>
        </w:rPr>
      </w:pPr>
    </w:p>
    <w:p w14:paraId="43C3F6E5" w14:textId="77777777" w:rsidR="00B3715B" w:rsidRPr="00B3715B" w:rsidRDefault="00B3715B" w:rsidP="00B3715B">
      <w:pPr>
        <w:pStyle w:val="Heading1"/>
        <w:suppressAutoHyphens/>
        <w:spacing w:before="0" w:line="240" w:lineRule="auto"/>
        <w:contextualSpacing/>
        <w:rPr>
          <w:color w:val="000000" w:themeColor="text1"/>
          <w:sz w:val="22"/>
          <w:szCs w:val="22"/>
        </w:rPr>
      </w:pPr>
      <w:r w:rsidRPr="00B3715B">
        <w:rPr>
          <w:color w:val="000000" w:themeColor="text1"/>
          <w:sz w:val="22"/>
          <w:szCs w:val="22"/>
        </w:rPr>
        <w:t>Intent/Clarification:</w:t>
      </w:r>
    </w:p>
    <w:p w14:paraId="4FE3982A" w14:textId="77777777" w:rsidR="00B3715B" w:rsidRPr="006D3CB9" w:rsidRDefault="00B3715B" w:rsidP="00B3715B">
      <w:pPr>
        <w:pStyle w:val="BodyText"/>
        <w:suppressAutoHyphens/>
        <w:contextualSpacing/>
        <w:rPr>
          <w:color w:val="000000" w:themeColor="text1"/>
        </w:rPr>
      </w:pPr>
      <w:r w:rsidRPr="00B3715B">
        <w:rPr>
          <w:color w:val="000000" w:themeColor="text1"/>
        </w:rPr>
        <w:t xml:space="preserve">MSTCVS QC will use this value to communicate issues about individual records with the participant. It will also be used by the Coordinating Center to link the </w:t>
      </w:r>
      <w:r>
        <w:rPr>
          <w:color w:val="000000" w:themeColor="text1"/>
        </w:rPr>
        <w:t xml:space="preserve">REDCap </w:t>
      </w:r>
      <w:r w:rsidRPr="00B3715B">
        <w:rPr>
          <w:color w:val="000000" w:themeColor="text1"/>
        </w:rPr>
        <w:t>record to the STS record.</w:t>
      </w:r>
      <w:r w:rsidRPr="006D3CB9">
        <w:rPr>
          <w:color w:val="000000" w:themeColor="text1"/>
        </w:rPr>
        <w:br/>
        <w:t>----------------------------------------------------------------------------------------------------------------------------------------</w:t>
      </w:r>
    </w:p>
    <w:p w14:paraId="69516F74"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w:t>
      </w:r>
      <w:r>
        <w:rPr>
          <w:b/>
          <w:color w:val="000000" w:themeColor="text1"/>
        </w:rPr>
        <w:t xml:space="preserve"> 3</w:t>
      </w:r>
    </w:p>
    <w:p w14:paraId="742D9A11"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Long Name:  STS Record</w:t>
      </w:r>
      <w:r w:rsidRPr="006D3CB9">
        <w:rPr>
          <w:b/>
          <w:color w:val="000000" w:themeColor="text1"/>
          <w:spacing w:val="-6"/>
        </w:rPr>
        <w:t xml:space="preserve"> </w:t>
      </w:r>
      <w:r w:rsidRPr="006D3CB9">
        <w:rPr>
          <w:b/>
          <w:color w:val="000000" w:themeColor="text1"/>
        </w:rPr>
        <w:t>ID</w:t>
      </w:r>
    </w:p>
    <w:p w14:paraId="147C71B8"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sidRPr="006D3CB9">
        <w:rPr>
          <w:b/>
          <w:color w:val="000000" w:themeColor="text1"/>
        </w:rPr>
        <w:t>sts_record_id</w:t>
      </w:r>
    </w:p>
    <w:p w14:paraId="052356EC"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Type:  Text</w:t>
      </w:r>
    </w:p>
    <w:p w14:paraId="37CA3C41" w14:textId="77777777" w:rsidR="00B3715B" w:rsidRPr="006D3CB9" w:rsidRDefault="00B3715B" w:rsidP="00B3715B">
      <w:pPr>
        <w:suppressAutoHyphens/>
        <w:spacing w:after="0" w:line="240" w:lineRule="auto"/>
        <w:contextualSpacing/>
        <w:rPr>
          <w:b/>
          <w:color w:val="000000" w:themeColor="text1"/>
        </w:rPr>
      </w:pPr>
    </w:p>
    <w:p w14:paraId="64765D02" w14:textId="77777777" w:rsidR="00B3715B" w:rsidRPr="006D3CB9" w:rsidRDefault="00B3715B" w:rsidP="00B3715B">
      <w:pPr>
        <w:pStyle w:val="BodyText"/>
        <w:suppressAutoHyphens/>
        <w:contextualSpacing/>
        <w:rPr>
          <w:color w:val="000000" w:themeColor="text1"/>
        </w:rPr>
      </w:pPr>
      <w:r w:rsidRPr="006D3CB9">
        <w:rPr>
          <w:b/>
          <w:color w:val="000000" w:themeColor="text1"/>
        </w:rPr>
        <w:t xml:space="preserve">Definition: </w:t>
      </w:r>
      <w:r w:rsidRPr="006D3CB9">
        <w:rPr>
          <w:color w:val="000000" w:themeColor="text1"/>
        </w:rPr>
        <w:t xml:space="preserve">An arbitrary, unique value generated by the software that permanently identifies each record in the participant's STS database (note that unlike the PatID value, this does not identify the individual patient). The value of the identifier is a combination of a code assigned to the software developer by the STS, and a value generated by the software to create a unique value. Once assigned to a record, this value can never be changed or reused. </w:t>
      </w:r>
    </w:p>
    <w:p w14:paraId="2BDAF5F0" w14:textId="77777777" w:rsidR="00B3715B" w:rsidRPr="006D3CB9" w:rsidRDefault="00B3715B" w:rsidP="00B3715B">
      <w:pPr>
        <w:pStyle w:val="BodyText"/>
        <w:suppressAutoHyphens/>
        <w:contextualSpacing/>
        <w:rPr>
          <w:color w:val="000000" w:themeColor="text1"/>
        </w:rPr>
      </w:pPr>
    </w:p>
    <w:p w14:paraId="0A19B45C" w14:textId="77777777" w:rsidR="00B3715B" w:rsidRPr="006D3CB9" w:rsidRDefault="00B3715B" w:rsidP="00B3715B">
      <w:pPr>
        <w:pStyle w:val="Heading1"/>
        <w:suppressAutoHyphens/>
        <w:spacing w:before="0" w:line="240" w:lineRule="auto"/>
        <w:contextualSpacing/>
        <w:rPr>
          <w:color w:val="000000" w:themeColor="text1"/>
          <w:sz w:val="22"/>
          <w:szCs w:val="22"/>
        </w:rPr>
      </w:pPr>
      <w:r w:rsidRPr="006D3CB9">
        <w:rPr>
          <w:color w:val="000000" w:themeColor="text1"/>
          <w:sz w:val="22"/>
          <w:szCs w:val="22"/>
        </w:rPr>
        <w:t>Intent/Clarification:</w:t>
      </w:r>
    </w:p>
    <w:p w14:paraId="1728DB6E" w14:textId="77777777" w:rsidR="00B3715B" w:rsidRPr="006D3CB9" w:rsidRDefault="00B3715B" w:rsidP="00B3715B">
      <w:pPr>
        <w:pStyle w:val="BodyText"/>
        <w:suppressAutoHyphens/>
        <w:contextualSpacing/>
        <w:rPr>
          <w:color w:val="000000" w:themeColor="text1"/>
        </w:rPr>
      </w:pPr>
      <w:r w:rsidRPr="006D3CB9">
        <w:rPr>
          <w:color w:val="000000" w:themeColor="text1"/>
        </w:rPr>
        <w:t xml:space="preserve">MSTCVS QC will use this value to communicate issues about individual records with the participant. It will also be used by the Coordinating Center to link the </w:t>
      </w:r>
      <w:r>
        <w:rPr>
          <w:color w:val="000000" w:themeColor="text1"/>
        </w:rPr>
        <w:t>REDCap</w:t>
      </w:r>
      <w:r w:rsidRPr="006D3CB9">
        <w:rPr>
          <w:color w:val="000000" w:themeColor="text1"/>
        </w:rPr>
        <w:t>record to the STS record.</w:t>
      </w:r>
    </w:p>
    <w:p w14:paraId="1576D2AC" w14:textId="77777777" w:rsidR="00B3715B" w:rsidRPr="006D3CB9" w:rsidRDefault="00B3715B" w:rsidP="00B3715B">
      <w:pPr>
        <w:pStyle w:val="BodyText"/>
        <w:suppressAutoHyphens/>
        <w:contextualSpacing/>
        <w:rPr>
          <w:color w:val="000000" w:themeColor="text1"/>
        </w:rPr>
      </w:pPr>
      <w:r w:rsidRPr="006D3CB9">
        <w:rPr>
          <w:color w:val="000000" w:themeColor="text1"/>
        </w:rPr>
        <w:br/>
        <w:t>---------------------------------------------------------------------------------------------------------</w:t>
      </w:r>
      <w:r>
        <w:rPr>
          <w:color w:val="000000" w:themeColor="text1"/>
        </w:rPr>
        <w:t>-------------------------------</w:t>
      </w:r>
    </w:p>
    <w:p w14:paraId="0A7CBD72"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w:t>
      </w:r>
      <w:r>
        <w:rPr>
          <w:b/>
          <w:color w:val="000000" w:themeColor="text1"/>
        </w:rPr>
        <w:t xml:space="preserve"> 4</w:t>
      </w:r>
    </w:p>
    <w:p w14:paraId="6E7C714A"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Long Name:  Date of Surgery</w:t>
      </w:r>
    </w:p>
    <w:p w14:paraId="37130A89"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sidRPr="006D3CB9">
        <w:rPr>
          <w:b/>
          <w:color w:val="000000" w:themeColor="text1"/>
        </w:rPr>
        <w:t>date_of_surgery</w:t>
      </w:r>
    </w:p>
    <w:p w14:paraId="7087FDE9"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Type:  Text</w:t>
      </w:r>
      <w:r>
        <w:rPr>
          <w:b/>
          <w:color w:val="000000" w:themeColor="text1"/>
        </w:rPr>
        <w:t xml:space="preserve"> (date_mdy)</w:t>
      </w:r>
    </w:p>
    <w:p w14:paraId="2C24D32D" w14:textId="77777777" w:rsidR="00B3715B" w:rsidRPr="006D3CB9" w:rsidRDefault="00B3715B" w:rsidP="00B3715B">
      <w:pPr>
        <w:suppressAutoHyphens/>
        <w:spacing w:after="0" w:line="240" w:lineRule="auto"/>
        <w:contextualSpacing/>
        <w:rPr>
          <w:b/>
          <w:color w:val="000000" w:themeColor="text1"/>
        </w:rPr>
      </w:pPr>
    </w:p>
    <w:p w14:paraId="1BC61ED2" w14:textId="77777777" w:rsidR="00B3715B" w:rsidRPr="006D3CB9" w:rsidRDefault="00B3715B" w:rsidP="00B3715B">
      <w:pPr>
        <w:pStyle w:val="BodyText"/>
        <w:suppressAutoHyphens/>
        <w:contextualSpacing/>
        <w:rPr>
          <w:color w:val="000000" w:themeColor="text1"/>
        </w:rPr>
      </w:pPr>
      <w:r w:rsidRPr="006D3CB9">
        <w:rPr>
          <w:b/>
          <w:color w:val="000000" w:themeColor="text1"/>
        </w:rPr>
        <w:t>Definition:</w:t>
      </w:r>
      <w:r w:rsidRPr="006D3CB9">
        <w:rPr>
          <w:color w:val="000000" w:themeColor="text1"/>
        </w:rPr>
        <w:t xml:space="preserve">  Indicate the date </w:t>
      </w:r>
      <w:r>
        <w:rPr>
          <w:color w:val="000000" w:themeColor="text1"/>
        </w:rPr>
        <w:t xml:space="preserve">the patient entered the operating room for the </w:t>
      </w:r>
      <w:r w:rsidRPr="006D3CB9">
        <w:rPr>
          <w:color w:val="000000" w:themeColor="text1"/>
        </w:rPr>
        <w:t>index cardiac surgical procedure. Index cardiac surgical procedure is defined as the initial major cardiac surgical procedure of the hospitalization.</w:t>
      </w:r>
    </w:p>
    <w:p w14:paraId="1A991DFB" w14:textId="77777777" w:rsidR="00B3715B" w:rsidRPr="006D3CB9" w:rsidRDefault="00B3715B" w:rsidP="00B3715B">
      <w:pPr>
        <w:pStyle w:val="BodyText"/>
        <w:suppressAutoHyphens/>
        <w:contextualSpacing/>
        <w:rPr>
          <w:color w:val="000000" w:themeColor="text1"/>
        </w:rPr>
      </w:pPr>
    </w:p>
    <w:p w14:paraId="7F1FE8CB" w14:textId="77777777" w:rsidR="00B3715B" w:rsidRPr="006D3CB9" w:rsidRDefault="00B3715B" w:rsidP="00B3715B">
      <w:pPr>
        <w:pStyle w:val="Heading1"/>
        <w:suppressAutoHyphens/>
        <w:spacing w:before="0" w:line="240" w:lineRule="auto"/>
        <w:contextualSpacing/>
        <w:rPr>
          <w:color w:val="000000" w:themeColor="text1"/>
        </w:rPr>
      </w:pPr>
      <w:r w:rsidRPr="006D3CB9">
        <w:rPr>
          <w:color w:val="000000" w:themeColor="text1"/>
          <w:sz w:val="22"/>
          <w:szCs w:val="22"/>
        </w:rPr>
        <w:t>Intent/Clarification:</w:t>
      </w:r>
      <w:r w:rsidRPr="006D3CB9">
        <w:rPr>
          <w:color w:val="000000" w:themeColor="text1"/>
        </w:rPr>
        <w:t xml:space="preserve"> </w:t>
      </w:r>
    </w:p>
    <w:p w14:paraId="06329FF2" w14:textId="77777777" w:rsidR="00B3715B" w:rsidRPr="006D3CB9" w:rsidRDefault="00B3715B" w:rsidP="00B3715B">
      <w:pPr>
        <w:pStyle w:val="BodyText"/>
        <w:suppressAutoHyphens/>
        <w:contextualSpacing/>
        <w:rPr>
          <w:color w:val="000000" w:themeColor="text1"/>
        </w:rPr>
      </w:pPr>
      <w:r w:rsidRPr="006D3CB9">
        <w:rPr>
          <w:color w:val="000000" w:themeColor="text1"/>
        </w:rPr>
        <w:t xml:space="preserve">MSTCVS QC will use this value to communicate issues about individual records with the participant. It will also be used by the Coordinating Center to link the </w:t>
      </w:r>
      <w:r>
        <w:rPr>
          <w:color w:val="000000" w:themeColor="text1"/>
        </w:rPr>
        <w:t xml:space="preserve">REDCap </w:t>
      </w:r>
      <w:r w:rsidRPr="006D3CB9">
        <w:rPr>
          <w:color w:val="000000" w:themeColor="text1"/>
        </w:rPr>
        <w:t>record to the STS record.</w:t>
      </w:r>
    </w:p>
    <w:p w14:paraId="5F2EC57A" w14:textId="77777777" w:rsidR="00B3715B" w:rsidRPr="006D3CB9" w:rsidRDefault="00B3715B" w:rsidP="00B3715B">
      <w:pPr>
        <w:suppressAutoHyphens/>
        <w:spacing w:after="0" w:line="240" w:lineRule="auto"/>
        <w:contextualSpacing/>
        <w:rPr>
          <w:color w:val="000000" w:themeColor="text1"/>
        </w:rPr>
      </w:pPr>
    </w:p>
    <w:p w14:paraId="205ACCDD" w14:textId="77777777" w:rsidR="00B3715B" w:rsidRPr="006D3CB9" w:rsidRDefault="00B3715B" w:rsidP="00B3715B">
      <w:pPr>
        <w:suppressAutoHyphens/>
        <w:spacing w:after="0" w:line="240" w:lineRule="auto"/>
        <w:contextualSpacing/>
        <w:rPr>
          <w:color w:val="000000" w:themeColor="text1"/>
        </w:rPr>
      </w:pPr>
      <w:r w:rsidRPr="00B3715B">
        <w:rPr>
          <w:color w:val="000000" w:themeColor="text1"/>
          <w:highlight w:val="yellow"/>
        </w:rPr>
        <w:t>Required date format: mm-dd-yyyy</w:t>
      </w:r>
    </w:p>
    <w:p w14:paraId="5671F135" w14:textId="77777777" w:rsidR="00B3715B" w:rsidRPr="006D3CB9" w:rsidRDefault="00B3715B" w:rsidP="00B3715B">
      <w:pPr>
        <w:suppressAutoHyphens/>
        <w:spacing w:after="0" w:line="240" w:lineRule="auto"/>
        <w:contextualSpacing/>
        <w:rPr>
          <w:color w:val="000000" w:themeColor="text1"/>
        </w:rPr>
      </w:pPr>
    </w:p>
    <w:p w14:paraId="6C3F5D8F" w14:textId="77777777" w:rsidR="00B3715B" w:rsidRPr="006D3CB9" w:rsidRDefault="00B3715B" w:rsidP="00B3715B">
      <w:pPr>
        <w:suppressAutoHyphens/>
        <w:spacing w:after="0" w:line="240" w:lineRule="auto"/>
        <w:contextualSpacing/>
        <w:rPr>
          <w:color w:val="000000" w:themeColor="text1"/>
        </w:rPr>
      </w:pPr>
      <w:r w:rsidRPr="006D3CB9">
        <w:rPr>
          <w:color w:val="000000" w:themeColor="text1"/>
        </w:rPr>
        <w:t>----------------------------------------------------------------------------------------------------------------------------------------</w:t>
      </w:r>
    </w:p>
    <w:p w14:paraId="55F538F3" w14:textId="77777777" w:rsidR="00B3715B" w:rsidRPr="006D3CB9" w:rsidRDefault="00B3715B" w:rsidP="00B3715B">
      <w:pPr>
        <w:suppressAutoHyphens/>
        <w:spacing w:after="0" w:line="240" w:lineRule="auto"/>
        <w:contextualSpacing/>
        <w:rPr>
          <w:b/>
          <w:color w:val="000000" w:themeColor="text1"/>
        </w:rPr>
      </w:pPr>
      <w:r>
        <w:rPr>
          <w:b/>
          <w:color w:val="000000" w:themeColor="text1"/>
        </w:rPr>
        <w:t>Field #: 5</w:t>
      </w:r>
    </w:p>
    <w:p w14:paraId="3B96A1D0"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Long Name:  Date of Discharge</w:t>
      </w:r>
    </w:p>
    <w:p w14:paraId="1CCA72BE"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sidRPr="006D3CB9">
        <w:rPr>
          <w:b/>
          <w:color w:val="000000" w:themeColor="text1"/>
        </w:rPr>
        <w:t>date_of_discharge</w:t>
      </w:r>
    </w:p>
    <w:p w14:paraId="1DA0B61F"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Type:  Text</w:t>
      </w:r>
      <w:r>
        <w:rPr>
          <w:b/>
          <w:color w:val="000000" w:themeColor="text1"/>
        </w:rPr>
        <w:t xml:space="preserve"> (date_mdy)</w:t>
      </w:r>
    </w:p>
    <w:p w14:paraId="39778799" w14:textId="77777777" w:rsidR="00B3715B" w:rsidRPr="006D3CB9" w:rsidRDefault="00B3715B" w:rsidP="00B3715B">
      <w:pPr>
        <w:suppressAutoHyphens/>
        <w:spacing w:after="0" w:line="240" w:lineRule="auto"/>
        <w:contextualSpacing/>
        <w:rPr>
          <w:b/>
          <w:color w:val="000000" w:themeColor="text1"/>
        </w:rPr>
      </w:pPr>
    </w:p>
    <w:p w14:paraId="3999C53C" w14:textId="77777777" w:rsidR="00B3715B" w:rsidRPr="006D3CB9" w:rsidRDefault="00B3715B" w:rsidP="00B3715B">
      <w:pPr>
        <w:pStyle w:val="TableParagraph"/>
        <w:suppressAutoHyphens/>
        <w:contextualSpacing/>
        <w:rPr>
          <w:color w:val="000000" w:themeColor="text1"/>
        </w:rPr>
      </w:pPr>
      <w:r w:rsidRPr="006D3CB9">
        <w:rPr>
          <w:b/>
          <w:color w:val="000000" w:themeColor="text1"/>
        </w:rPr>
        <w:t>Definition:</w:t>
      </w:r>
      <w:r w:rsidRPr="006D3CB9">
        <w:rPr>
          <w:color w:val="000000" w:themeColor="text1"/>
        </w:rPr>
        <w:t xml:space="preserve">  Indicate the date the patient was discharged from the hospital.</w:t>
      </w:r>
    </w:p>
    <w:p w14:paraId="5B3061AB" w14:textId="77777777" w:rsidR="00B3715B" w:rsidRPr="006D3CB9" w:rsidRDefault="00B3715B" w:rsidP="00B3715B">
      <w:pPr>
        <w:pStyle w:val="BodyText"/>
        <w:suppressAutoHyphens/>
        <w:contextualSpacing/>
        <w:rPr>
          <w:color w:val="000000" w:themeColor="text1"/>
        </w:rPr>
      </w:pPr>
    </w:p>
    <w:p w14:paraId="6A1FB2E9" w14:textId="77777777" w:rsidR="00B3715B" w:rsidRPr="006D3CB9" w:rsidRDefault="00B3715B" w:rsidP="00B3715B">
      <w:pPr>
        <w:pStyle w:val="Heading1"/>
        <w:suppressAutoHyphens/>
        <w:spacing w:before="0" w:line="240" w:lineRule="auto"/>
        <w:contextualSpacing/>
        <w:rPr>
          <w:color w:val="000000" w:themeColor="text1"/>
          <w:sz w:val="22"/>
          <w:szCs w:val="22"/>
        </w:rPr>
      </w:pPr>
      <w:r w:rsidRPr="006D3CB9">
        <w:rPr>
          <w:color w:val="000000" w:themeColor="text1"/>
          <w:sz w:val="22"/>
          <w:szCs w:val="22"/>
        </w:rPr>
        <w:t>Intent/Clarification:</w:t>
      </w:r>
    </w:p>
    <w:p w14:paraId="5D1F9405" w14:textId="77777777" w:rsidR="00B3715B" w:rsidRPr="006D3CB9" w:rsidRDefault="00B3715B" w:rsidP="00B3715B">
      <w:pPr>
        <w:pStyle w:val="BodyText"/>
        <w:suppressAutoHyphens/>
        <w:contextualSpacing/>
        <w:rPr>
          <w:color w:val="000000" w:themeColor="text1"/>
        </w:rPr>
      </w:pPr>
      <w:r w:rsidRPr="006D3CB9">
        <w:rPr>
          <w:color w:val="000000" w:themeColor="text1"/>
        </w:rPr>
        <w:t xml:space="preserve">MSTCVS QC will use this value to communicate issues about individual records with the participant. It will also be used by the Coordinating Center to link the </w:t>
      </w:r>
      <w:r>
        <w:rPr>
          <w:color w:val="000000" w:themeColor="text1"/>
        </w:rPr>
        <w:t xml:space="preserve">REDCap </w:t>
      </w:r>
      <w:r w:rsidRPr="006D3CB9">
        <w:rPr>
          <w:color w:val="000000" w:themeColor="text1"/>
        </w:rPr>
        <w:t>record to the STS record.</w:t>
      </w:r>
    </w:p>
    <w:p w14:paraId="1F7E7BEE" w14:textId="77777777" w:rsidR="00B3715B" w:rsidRPr="006D3CB9" w:rsidRDefault="00B3715B" w:rsidP="00B3715B">
      <w:pPr>
        <w:suppressAutoHyphens/>
        <w:spacing w:after="0" w:line="240" w:lineRule="auto"/>
        <w:contextualSpacing/>
        <w:rPr>
          <w:color w:val="000000" w:themeColor="text1"/>
        </w:rPr>
      </w:pPr>
    </w:p>
    <w:p w14:paraId="52651374" w14:textId="77777777" w:rsidR="00B3715B" w:rsidRPr="006D3CB9" w:rsidRDefault="00B3715B" w:rsidP="00B3715B">
      <w:pPr>
        <w:suppressAutoHyphens/>
        <w:spacing w:after="0" w:line="240" w:lineRule="auto"/>
        <w:contextualSpacing/>
        <w:rPr>
          <w:color w:val="000000" w:themeColor="text1"/>
        </w:rPr>
      </w:pPr>
      <w:r w:rsidRPr="00B3715B">
        <w:rPr>
          <w:color w:val="000000" w:themeColor="text1"/>
          <w:highlight w:val="yellow"/>
        </w:rPr>
        <w:t>Required date format: mm-dd-yyyy</w:t>
      </w:r>
    </w:p>
    <w:p w14:paraId="0AA8399D" w14:textId="77777777" w:rsidR="00B3715B" w:rsidRPr="006D3CB9" w:rsidRDefault="00B3715B" w:rsidP="00B3715B">
      <w:pPr>
        <w:suppressAutoHyphens/>
        <w:spacing w:after="0" w:line="240" w:lineRule="auto"/>
        <w:contextualSpacing/>
        <w:rPr>
          <w:color w:val="000000" w:themeColor="text1"/>
        </w:rPr>
      </w:pPr>
    </w:p>
    <w:p w14:paraId="72B6E1CC" w14:textId="77777777" w:rsidR="00B3715B" w:rsidRPr="006D3CB9" w:rsidRDefault="00B3715B" w:rsidP="00B3715B">
      <w:pPr>
        <w:pStyle w:val="BodyText"/>
        <w:suppressAutoHyphens/>
        <w:contextualSpacing/>
        <w:rPr>
          <w:color w:val="000000" w:themeColor="text1"/>
        </w:rPr>
      </w:pPr>
      <w:r w:rsidRPr="006D3CB9">
        <w:rPr>
          <w:color w:val="000000" w:themeColor="text1"/>
        </w:rPr>
        <w:t>----------------------------------------------------------------------------------------------------------------------------------------</w:t>
      </w:r>
    </w:p>
    <w:p w14:paraId="6D013DED" w14:textId="77777777" w:rsidR="00B3715B" w:rsidRPr="006D3CB9" w:rsidRDefault="00B3715B" w:rsidP="00B3715B">
      <w:pPr>
        <w:suppressAutoHyphens/>
        <w:spacing w:after="0" w:line="240" w:lineRule="auto"/>
        <w:contextualSpacing/>
        <w:rPr>
          <w:b/>
          <w:color w:val="000000" w:themeColor="text1"/>
        </w:rPr>
      </w:pPr>
      <w:bookmarkStart w:id="1" w:name="Date_of_birth"/>
      <w:bookmarkEnd w:id="1"/>
      <w:r>
        <w:rPr>
          <w:b/>
          <w:color w:val="000000" w:themeColor="text1"/>
        </w:rPr>
        <w:t>Field #: 6</w:t>
      </w:r>
    </w:p>
    <w:p w14:paraId="63B19FD0"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 xml:space="preserve">Long Name:  </w:t>
      </w:r>
      <w:r>
        <w:rPr>
          <w:b/>
          <w:color w:val="000000" w:themeColor="text1"/>
        </w:rPr>
        <w:t>Clinical Frailty Score</w:t>
      </w:r>
    </w:p>
    <w:p w14:paraId="304CCC00"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Pr>
          <w:b/>
          <w:color w:val="000000" w:themeColor="text1"/>
        </w:rPr>
        <w:t>mstcvs_frailty_score</w:t>
      </w:r>
    </w:p>
    <w:p w14:paraId="0D3AE2E3"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 xml:space="preserve">Field Type:  </w:t>
      </w:r>
      <w:r>
        <w:rPr>
          <w:b/>
          <w:color w:val="000000" w:themeColor="text1"/>
        </w:rPr>
        <w:t>Radio / Text</w:t>
      </w:r>
    </w:p>
    <w:p w14:paraId="271ECB80" w14:textId="77777777" w:rsidR="00B3715B" w:rsidRPr="006D3CB9" w:rsidRDefault="00B3715B" w:rsidP="00B3715B">
      <w:pPr>
        <w:suppressAutoHyphens/>
        <w:spacing w:after="0" w:line="240" w:lineRule="auto"/>
        <w:contextualSpacing/>
        <w:rPr>
          <w:b/>
          <w:color w:val="000000" w:themeColor="text1"/>
        </w:rPr>
      </w:pPr>
    </w:p>
    <w:p w14:paraId="6945C19F" w14:textId="769637EE" w:rsidR="00A52E8F" w:rsidRPr="00A52E8F" w:rsidRDefault="00B3715B" w:rsidP="00A52E8F">
      <w:pPr>
        <w:pStyle w:val="BodyText"/>
        <w:suppressAutoHyphens/>
        <w:spacing w:after="120"/>
        <w:contextualSpacing/>
        <w:rPr>
          <w:rFonts w:asciiTheme="minorHAnsi" w:hAnsiTheme="minorHAnsi" w:cstheme="minorHAnsi"/>
          <w:color w:val="000000" w:themeColor="text1"/>
        </w:rPr>
      </w:pPr>
      <w:r w:rsidRPr="006D3CB9">
        <w:rPr>
          <w:b/>
          <w:color w:val="000000" w:themeColor="text1"/>
        </w:rPr>
        <w:t>Definition</w:t>
      </w:r>
      <w:r w:rsidR="00A52E8F">
        <w:rPr>
          <w:b/>
          <w:color w:val="000000" w:themeColor="text1"/>
        </w:rPr>
        <w:t>:</w:t>
      </w:r>
      <w:r w:rsidRPr="006D3CB9">
        <w:rPr>
          <w:color w:val="000000" w:themeColor="text1"/>
        </w:rPr>
        <w:t xml:space="preserve"> </w:t>
      </w:r>
      <w:r w:rsidR="00A52E8F">
        <w:rPr>
          <w:color w:val="000000" w:themeColor="text1"/>
        </w:rPr>
        <w:t xml:space="preserve"> </w:t>
      </w:r>
      <w:r>
        <w:rPr>
          <w:color w:val="000000" w:themeColor="text1"/>
        </w:rPr>
        <w:t>Indicate the numeric Clinical Frailty Score as documented by a physician or advanced practice provider</w:t>
      </w:r>
      <w:r w:rsidR="00A52E8F">
        <w:rPr>
          <w:color w:val="000000" w:themeColor="text1"/>
        </w:rPr>
        <w:t>:</w:t>
      </w:r>
    </w:p>
    <w:p w14:paraId="531E3CC5" w14:textId="3EF84109" w:rsidR="00A52E8F" w:rsidRDefault="00A52E8F" w:rsidP="00A52E8F">
      <w:pPr>
        <w:pStyle w:val="Heading6"/>
        <w:numPr>
          <w:ilvl w:val="0"/>
          <w:numId w:val="7"/>
        </w:numPr>
        <w:tabs>
          <w:tab w:val="left" w:pos="881"/>
        </w:tabs>
        <w:spacing w:before="0" w:line="240" w:lineRule="auto"/>
        <w:contextualSpacing/>
        <w:rPr>
          <w:rFonts w:asciiTheme="minorHAnsi" w:hAnsiTheme="minorHAnsi" w:cstheme="minorHAnsi"/>
          <w:color w:val="000000" w:themeColor="text1"/>
        </w:rPr>
      </w:pPr>
      <w:r>
        <w:rPr>
          <w:rFonts w:asciiTheme="minorHAnsi" w:hAnsiTheme="minorHAnsi" w:cstheme="minorHAnsi"/>
          <w:color w:val="000000" w:themeColor="text1"/>
        </w:rPr>
        <w:t>Very Fit</w:t>
      </w:r>
    </w:p>
    <w:p w14:paraId="2193CED7" w14:textId="5A375798" w:rsidR="00A52E8F" w:rsidRDefault="00A52E8F" w:rsidP="00A52E8F">
      <w:pPr>
        <w:pStyle w:val="ListParagraph"/>
        <w:numPr>
          <w:ilvl w:val="0"/>
          <w:numId w:val="7"/>
        </w:numPr>
      </w:pPr>
      <w:r>
        <w:t>Fit</w:t>
      </w:r>
    </w:p>
    <w:p w14:paraId="59F1047E" w14:textId="556E4E60" w:rsidR="00A52E8F" w:rsidRDefault="00A52E8F" w:rsidP="00A52E8F">
      <w:pPr>
        <w:pStyle w:val="ListParagraph"/>
        <w:numPr>
          <w:ilvl w:val="0"/>
          <w:numId w:val="7"/>
        </w:numPr>
      </w:pPr>
      <w:r>
        <w:t>Managing Well</w:t>
      </w:r>
    </w:p>
    <w:p w14:paraId="3473E4A9" w14:textId="7A13A065" w:rsidR="00A52E8F" w:rsidRDefault="00A52E8F" w:rsidP="00A52E8F">
      <w:pPr>
        <w:pStyle w:val="ListParagraph"/>
        <w:numPr>
          <w:ilvl w:val="0"/>
          <w:numId w:val="7"/>
        </w:numPr>
      </w:pPr>
      <w:r>
        <w:t>Living with Very Mild Frailty</w:t>
      </w:r>
    </w:p>
    <w:p w14:paraId="59AE297C" w14:textId="643F7585" w:rsidR="00A52E8F" w:rsidRDefault="00A52E8F" w:rsidP="00A52E8F">
      <w:pPr>
        <w:pStyle w:val="ListParagraph"/>
        <w:numPr>
          <w:ilvl w:val="0"/>
          <w:numId w:val="7"/>
        </w:numPr>
      </w:pPr>
      <w:r>
        <w:t>Living with Mild Frailty</w:t>
      </w:r>
    </w:p>
    <w:p w14:paraId="3199AA45" w14:textId="03B04EEA" w:rsidR="00A52E8F" w:rsidRDefault="00A52E8F" w:rsidP="00A52E8F">
      <w:pPr>
        <w:pStyle w:val="ListParagraph"/>
        <w:numPr>
          <w:ilvl w:val="0"/>
          <w:numId w:val="7"/>
        </w:numPr>
      </w:pPr>
      <w:r>
        <w:t>Living with Moderate Frailty</w:t>
      </w:r>
    </w:p>
    <w:p w14:paraId="5295043A" w14:textId="7F0B0012" w:rsidR="00A52E8F" w:rsidRDefault="00A52E8F" w:rsidP="00A52E8F">
      <w:pPr>
        <w:pStyle w:val="ListParagraph"/>
        <w:numPr>
          <w:ilvl w:val="0"/>
          <w:numId w:val="7"/>
        </w:numPr>
      </w:pPr>
      <w:r>
        <w:t>Living with Severy Frailty</w:t>
      </w:r>
    </w:p>
    <w:p w14:paraId="1FCFB8AC" w14:textId="642B76BE" w:rsidR="00A52E8F" w:rsidRDefault="00A52E8F" w:rsidP="00A52E8F">
      <w:pPr>
        <w:pStyle w:val="ListParagraph"/>
        <w:numPr>
          <w:ilvl w:val="0"/>
          <w:numId w:val="7"/>
        </w:numPr>
      </w:pPr>
      <w:r>
        <w:t>Living with Very Severe Frailty</w:t>
      </w:r>
    </w:p>
    <w:p w14:paraId="651E177A" w14:textId="58B874E2" w:rsidR="00A52E8F" w:rsidRDefault="00A52E8F" w:rsidP="00A52E8F">
      <w:pPr>
        <w:pStyle w:val="ListParagraph"/>
        <w:numPr>
          <w:ilvl w:val="0"/>
          <w:numId w:val="7"/>
        </w:numPr>
      </w:pPr>
      <w:r>
        <w:t>Terminally Ill</w:t>
      </w:r>
    </w:p>
    <w:p w14:paraId="1A2DBD81" w14:textId="6C9B5F44" w:rsidR="00B3715B" w:rsidRPr="00A52E8F" w:rsidRDefault="00A52E8F" w:rsidP="00A52E8F">
      <w:pPr>
        <w:pStyle w:val="ListParagraph"/>
        <w:numPr>
          <w:ilvl w:val="0"/>
          <w:numId w:val="7"/>
        </w:numPr>
      </w:pPr>
      <w:r>
        <w:t>Not Documented</w:t>
      </w:r>
    </w:p>
    <w:p w14:paraId="67CBABDE" w14:textId="77777777" w:rsidR="00B3715B" w:rsidRPr="006D3CB9" w:rsidRDefault="00B3715B" w:rsidP="00B3715B">
      <w:pPr>
        <w:pStyle w:val="Heading1"/>
        <w:suppressAutoHyphens/>
        <w:spacing w:before="0" w:line="240" w:lineRule="auto"/>
        <w:contextualSpacing/>
        <w:rPr>
          <w:color w:val="000000" w:themeColor="text1"/>
          <w:sz w:val="22"/>
          <w:szCs w:val="22"/>
        </w:rPr>
      </w:pPr>
      <w:r w:rsidRPr="006D3CB9">
        <w:rPr>
          <w:color w:val="000000" w:themeColor="text1"/>
          <w:sz w:val="22"/>
          <w:szCs w:val="22"/>
        </w:rPr>
        <w:t>Intent/Clarification:</w:t>
      </w:r>
    </w:p>
    <w:p w14:paraId="16FBB690" w14:textId="1FA29C75" w:rsidR="00B3715B" w:rsidRPr="00A52E8F" w:rsidRDefault="00A52E8F" w:rsidP="00A52E8F">
      <w:r w:rsidRPr="00A52E8F">
        <w:t xml:space="preserve">Capture the last Clinical Frailty Scale score documented by the surgeon or advanced practice provider prior to the start of the operative procedure.  If a score is documented by both a surgeon and an APP, capture the score documented by the surgeon.  </w:t>
      </w:r>
      <w:r w:rsidR="00B3715B" w:rsidRPr="00A52E8F">
        <w:t xml:space="preserve">The intent is to capture the patient’s baseline health status (two weeks ago).  The baseline health state is what the person was like before any acute events.     </w:t>
      </w:r>
    </w:p>
    <w:p w14:paraId="51978170" w14:textId="77777777" w:rsidR="00B3715B" w:rsidRPr="006D3CB9" w:rsidRDefault="00B3715B" w:rsidP="00B3715B">
      <w:pPr>
        <w:pStyle w:val="BodyText"/>
        <w:suppressAutoHyphens/>
        <w:contextualSpacing/>
        <w:rPr>
          <w:color w:val="000000" w:themeColor="text1"/>
        </w:rPr>
      </w:pPr>
      <w:r w:rsidRPr="006D3CB9">
        <w:rPr>
          <w:color w:val="000000" w:themeColor="text1"/>
        </w:rPr>
        <w:t>----------------------------------------------------------------------------------------------------------------------------------------</w:t>
      </w:r>
    </w:p>
    <w:p w14:paraId="3C4D7855" w14:textId="77777777" w:rsidR="00B3715B" w:rsidRPr="006D3CB9" w:rsidRDefault="00B3715B" w:rsidP="00B3715B">
      <w:pPr>
        <w:suppressAutoHyphens/>
        <w:spacing w:after="0" w:line="240" w:lineRule="auto"/>
        <w:contextualSpacing/>
        <w:rPr>
          <w:b/>
          <w:color w:val="000000" w:themeColor="text1"/>
        </w:rPr>
      </w:pPr>
      <w:r>
        <w:rPr>
          <w:b/>
          <w:color w:val="000000" w:themeColor="text1"/>
        </w:rPr>
        <w:t>Field #: 7</w:t>
      </w:r>
    </w:p>
    <w:p w14:paraId="030E3C22" w14:textId="3DD8D5B6" w:rsidR="00B3715B" w:rsidRPr="006D3CB9" w:rsidRDefault="00B3715B" w:rsidP="00B3715B">
      <w:pPr>
        <w:suppressAutoHyphens/>
        <w:spacing w:after="0" w:line="240" w:lineRule="auto"/>
        <w:contextualSpacing/>
        <w:rPr>
          <w:b/>
          <w:color w:val="000000" w:themeColor="text1"/>
        </w:rPr>
      </w:pPr>
      <w:r w:rsidRPr="006D3CB9">
        <w:rPr>
          <w:b/>
          <w:color w:val="000000" w:themeColor="text1"/>
        </w:rPr>
        <w:t xml:space="preserve">Long Name:  </w:t>
      </w:r>
      <w:r w:rsidR="00A52E8F">
        <w:rPr>
          <w:b/>
          <w:color w:val="000000" w:themeColor="text1"/>
        </w:rPr>
        <w:t>Complete</w:t>
      </w:r>
    </w:p>
    <w:p w14:paraId="5425A35E" w14:textId="643BDD7E" w:rsidR="00B3715B" w:rsidRPr="006D3CB9" w:rsidRDefault="00B3715B" w:rsidP="00B3715B">
      <w:pPr>
        <w:suppressAutoHyphens/>
        <w:spacing w:after="0" w:line="240" w:lineRule="auto"/>
        <w:contextualSpacing/>
        <w:rPr>
          <w:b/>
          <w:color w:val="000000" w:themeColor="text1"/>
        </w:rPr>
      </w:pPr>
      <w:r w:rsidRPr="006D3CB9">
        <w:rPr>
          <w:b/>
          <w:color w:val="000000" w:themeColor="text1"/>
        </w:rPr>
        <w:t>Short Name:</w:t>
      </w:r>
      <w:r w:rsidRPr="006D3CB9">
        <w:rPr>
          <w:b/>
          <w:color w:val="000000" w:themeColor="text1"/>
          <w:spacing w:val="-7"/>
        </w:rPr>
        <w:t xml:space="preserve">  </w:t>
      </w:r>
      <w:r w:rsidR="00A52E8F">
        <w:rPr>
          <w:b/>
          <w:color w:val="000000" w:themeColor="text1"/>
        </w:rPr>
        <w:t>mstcvs_clinical_frailty_assessment_complete</w:t>
      </w:r>
    </w:p>
    <w:p w14:paraId="42F91DC6" w14:textId="77777777" w:rsidR="00B3715B" w:rsidRPr="006D3CB9" w:rsidRDefault="00B3715B" w:rsidP="00B3715B">
      <w:pPr>
        <w:suppressAutoHyphens/>
        <w:spacing w:after="0" w:line="240" w:lineRule="auto"/>
        <w:contextualSpacing/>
        <w:rPr>
          <w:b/>
          <w:color w:val="000000" w:themeColor="text1"/>
        </w:rPr>
      </w:pPr>
      <w:r w:rsidRPr="006D3CB9">
        <w:rPr>
          <w:b/>
          <w:color w:val="000000" w:themeColor="text1"/>
        </w:rPr>
        <w:t>Field Type:  Yes/No</w:t>
      </w:r>
    </w:p>
    <w:p w14:paraId="69F8107D" w14:textId="77777777" w:rsidR="00B3715B" w:rsidRPr="006D3CB9" w:rsidRDefault="00B3715B" w:rsidP="00B3715B">
      <w:pPr>
        <w:suppressAutoHyphens/>
        <w:spacing w:after="0" w:line="240" w:lineRule="auto"/>
        <w:contextualSpacing/>
        <w:rPr>
          <w:b/>
          <w:color w:val="000000" w:themeColor="text1"/>
        </w:rPr>
      </w:pPr>
    </w:p>
    <w:p w14:paraId="6C9D8A43" w14:textId="33191CC8" w:rsidR="00B3715B" w:rsidRDefault="00B3715B" w:rsidP="00B3715B">
      <w:pPr>
        <w:pStyle w:val="BodyText"/>
        <w:suppressAutoHyphens/>
        <w:contextualSpacing/>
        <w:rPr>
          <w:color w:val="000000" w:themeColor="text1"/>
        </w:rPr>
      </w:pPr>
      <w:r w:rsidRPr="006D3CB9">
        <w:rPr>
          <w:b/>
          <w:color w:val="000000" w:themeColor="text1"/>
        </w:rPr>
        <w:t>Definition</w:t>
      </w:r>
      <w:r w:rsidR="00A52E8F">
        <w:rPr>
          <w:b/>
          <w:color w:val="000000" w:themeColor="text1"/>
        </w:rPr>
        <w:t xml:space="preserve">: </w:t>
      </w:r>
      <w:r w:rsidRPr="006D3CB9">
        <w:rPr>
          <w:color w:val="000000" w:themeColor="text1"/>
        </w:rPr>
        <w:t xml:space="preserve"> </w:t>
      </w:r>
      <w:r w:rsidR="00A52E8F">
        <w:rPr>
          <w:color w:val="000000" w:themeColor="text1"/>
        </w:rPr>
        <w:t>Unique field generated by the REDCap software to allow users to track completeness of record.  This field may be left blank.</w:t>
      </w:r>
    </w:p>
    <w:p w14:paraId="72CE1A08" w14:textId="77777777" w:rsidR="00B3715B" w:rsidRDefault="00B3715B" w:rsidP="00B3715B">
      <w:pPr>
        <w:pStyle w:val="BodyText"/>
        <w:suppressAutoHyphens/>
        <w:contextualSpacing/>
        <w:rPr>
          <w:color w:val="000000" w:themeColor="text1"/>
        </w:rPr>
      </w:pPr>
    </w:p>
    <w:p w14:paraId="05821FA5" w14:textId="77777777" w:rsidR="00A52E8F" w:rsidRDefault="00A52E8F" w:rsidP="0092623C">
      <w:pPr>
        <w:pStyle w:val="Heading1"/>
        <w:spacing w:before="0" w:line="240" w:lineRule="auto"/>
        <w:rPr>
          <w:b/>
          <w:bCs/>
          <w:color w:val="990033"/>
        </w:rPr>
      </w:pPr>
    </w:p>
    <w:p w14:paraId="621017EE" w14:textId="5D0AE1B7" w:rsidR="0092623C" w:rsidRDefault="0092623C" w:rsidP="0092623C">
      <w:pPr>
        <w:pStyle w:val="Heading1"/>
        <w:spacing w:before="0" w:line="240" w:lineRule="auto"/>
        <w:rPr>
          <w:b/>
          <w:bCs/>
          <w:color w:val="990033"/>
        </w:rPr>
      </w:pPr>
      <w:r>
        <w:rPr>
          <w:b/>
          <w:bCs/>
          <w:color w:val="990033"/>
        </w:rPr>
        <w:t>Clinical Frailty Scale Guidance and Training:</w:t>
      </w:r>
    </w:p>
    <w:p w14:paraId="1E73000C" w14:textId="77777777" w:rsidR="0092623C" w:rsidRDefault="0092623C" w:rsidP="0092623C">
      <w:pPr>
        <w:rPr>
          <w:sz w:val="24"/>
          <w:szCs w:val="24"/>
        </w:rPr>
      </w:pPr>
      <w:r>
        <w:rPr>
          <w:sz w:val="24"/>
          <w:szCs w:val="24"/>
        </w:rPr>
        <w:t xml:space="preserve">The following guidance and training resources were obtained from the Dalhousie University Geriatric Medicine group and compiled in this document for enhanced accessibility by MSTCVS Quality Collaborative participants.  </w:t>
      </w:r>
    </w:p>
    <w:p w14:paraId="3CD58621" w14:textId="77777777" w:rsidR="0092623C" w:rsidRDefault="002661A1" w:rsidP="0092623C">
      <w:pPr>
        <w:pStyle w:val="Heading1"/>
        <w:spacing w:before="0" w:line="240" w:lineRule="auto"/>
        <w:rPr>
          <w:b/>
          <w:bCs/>
          <w:color w:val="990033"/>
        </w:rPr>
      </w:pPr>
      <w:r>
        <w:rPr>
          <w:b/>
          <w:bCs/>
          <w:color w:val="990033"/>
        </w:rPr>
        <w:br/>
      </w:r>
      <w:r w:rsidR="0092623C">
        <w:rPr>
          <w:b/>
          <w:bCs/>
          <w:color w:val="990033"/>
        </w:rPr>
        <w:t>Clinical Frailty Scale:</w:t>
      </w:r>
      <w:r w:rsidR="004A0884">
        <w:rPr>
          <w:b/>
          <w:bCs/>
          <w:color w:val="990033"/>
        </w:rPr>
        <w:br/>
      </w:r>
      <w:hyperlink r:id="rId7" w:history="1">
        <w:r w:rsidR="004A0884" w:rsidRPr="0092623C">
          <w:rPr>
            <w:rStyle w:val="Hyperlink"/>
            <w:i/>
            <w:iCs/>
            <w:sz w:val="22"/>
            <w:szCs w:val="22"/>
          </w:rPr>
          <w:t>https://www.dal.ca/sites/gmr/our-tools/clinical-frailty-scale.html</w:t>
        </w:r>
      </w:hyperlink>
      <w:r w:rsidR="004A0884">
        <w:rPr>
          <w:i/>
          <w:iCs/>
          <w:sz w:val="22"/>
          <w:szCs w:val="22"/>
        </w:rPr>
        <w:br/>
      </w:r>
    </w:p>
    <w:p w14:paraId="66877B8C" w14:textId="77777777" w:rsidR="004A0884" w:rsidRPr="004A0884" w:rsidRDefault="004A0884" w:rsidP="004A0884">
      <w:r w:rsidRPr="004A0884">
        <w:t>The </w:t>
      </w:r>
      <w:r w:rsidRPr="004A0884">
        <w:rPr>
          <w:b/>
          <w:bCs/>
        </w:rPr>
        <w:t>Clinical Frailty Scale (CFS)</w:t>
      </w:r>
      <w:r w:rsidRPr="004A0884">
        <w:t xml:space="preserve"> was introduced in the second clinical examination of the Canadian Study of Health and Aging (CSHA) </w:t>
      </w:r>
      <w:proofErr w:type="gramStart"/>
      <w:r w:rsidRPr="004A0884">
        <w:t>as a way to</w:t>
      </w:r>
      <w:proofErr w:type="gramEnd"/>
      <w:r w:rsidRPr="004A0884">
        <w:t xml:space="preserve"> summarize the overall level of fitness or frailty of an older adult after they had been evaluated by an experienced clinician (Rockwood </w:t>
      </w:r>
      <w:r w:rsidRPr="004A0884">
        <w:rPr>
          <w:i/>
          <w:iCs/>
        </w:rPr>
        <w:t>et al.</w:t>
      </w:r>
      <w:r w:rsidRPr="004A0884">
        <w:t>, 2005).</w:t>
      </w:r>
    </w:p>
    <w:p w14:paraId="769BA8B6" w14:textId="77777777" w:rsidR="004A0884" w:rsidRPr="004A0884" w:rsidRDefault="004A0884" w:rsidP="004A0884">
      <w:r w:rsidRPr="004A0884">
        <w:t>Although introduced as a means of summarizing a multidimensional assessment in an epidemiological setting, the CFS quickly evolved for clinical use, and has been widely taken up as a judgement-based tool to screen for frailty and to broadly stratify degrees of fitness and frailty. It is not a questionnaire, but a way to summarize information from a clinical encounter with an older person, in a context in which it is useful to screen for and roughly quantify an individual’s overall health status.</w:t>
      </w:r>
    </w:p>
    <w:p w14:paraId="4CA43BD0" w14:textId="77777777" w:rsidR="004A0884" w:rsidRPr="004A0884" w:rsidRDefault="004A0884" w:rsidP="004A0884">
      <w:r w:rsidRPr="004A0884">
        <w:t xml:space="preserve">The highest grade of the CFS (level 7) as published in 2005, incorporated both severe frailty and terminal illness. Later, it became evident that we needed to distinguish between identifiable groups who were otherwise lumped together in the original scale – severely frail, very severely </w:t>
      </w:r>
      <w:proofErr w:type="gramStart"/>
      <w:r w:rsidRPr="004A0884">
        <w:t>frail</w:t>
      </w:r>
      <w:proofErr w:type="gramEnd"/>
      <w:r w:rsidRPr="004A0884">
        <w:t xml:space="preserve"> and terminally ill - as clinically distinct groups who required distinctive care plans. Therefore, in 2007 the CFS was expanded from a 7-point scale to the present 9-point scale, and it has been used extensively in that format. We published on the predictive validity of the 9-point CFS in 2020 (Pulok </w:t>
      </w:r>
      <w:r w:rsidRPr="004A0884">
        <w:rPr>
          <w:i/>
          <w:iCs/>
        </w:rPr>
        <w:t>et al.,</w:t>
      </w:r>
      <w:r w:rsidRPr="004A0884">
        <w:t> 2020). </w:t>
      </w:r>
    </w:p>
    <w:p w14:paraId="53977167" w14:textId="77777777" w:rsidR="0092623C" w:rsidRPr="0092623C" w:rsidRDefault="006D430B" w:rsidP="004A0884">
      <w:pPr>
        <w:jc w:val="center"/>
        <w:rPr>
          <w:sz w:val="24"/>
          <w:szCs w:val="24"/>
        </w:rPr>
      </w:pPr>
      <w:r>
        <w:rPr>
          <w:noProof/>
        </w:rPr>
        <w:lastRenderedPageBreak/>
        <w:drawing>
          <wp:anchor distT="0" distB="0" distL="114300" distR="114300" simplePos="0" relativeHeight="251658240" behindDoc="0" locked="0" layoutInCell="1" allowOverlap="1" wp14:anchorId="53CF4BBE" wp14:editId="52998C8B">
            <wp:simplePos x="0" y="0"/>
            <wp:positionH relativeFrom="margin">
              <wp:align>center</wp:align>
            </wp:positionH>
            <wp:positionV relativeFrom="page">
              <wp:posOffset>1211935</wp:posOffset>
            </wp:positionV>
            <wp:extent cx="7038975" cy="5570855"/>
            <wp:effectExtent l="0" t="0" r="9525" b="0"/>
            <wp:wrapSquare wrapText="bothSides"/>
            <wp:docPr id="1443254164" name="Picture 1" descr="A broch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54164" name="Picture 1" descr="A brochure with black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8975" cy="5570855"/>
                    </a:xfrm>
                    <a:prstGeom prst="rect">
                      <a:avLst/>
                    </a:prstGeom>
                    <a:noFill/>
                    <a:ln>
                      <a:noFill/>
                    </a:ln>
                  </pic:spPr>
                </pic:pic>
              </a:graphicData>
            </a:graphic>
          </wp:anchor>
        </w:drawing>
      </w:r>
    </w:p>
    <w:p w14:paraId="73E66A43" w14:textId="77777777" w:rsidR="00876D4C" w:rsidRDefault="00876D4C"/>
    <w:p w14:paraId="6987711E" w14:textId="77777777" w:rsidR="00DC4A67" w:rsidRDefault="007C568A">
      <w:pPr>
        <w:rPr>
          <w:rFonts w:asciiTheme="majorHAnsi" w:hAnsiTheme="majorHAnsi" w:cstheme="majorHAnsi"/>
          <w:b/>
          <w:bCs/>
          <w:color w:val="990033"/>
          <w:sz w:val="32"/>
          <w:szCs w:val="32"/>
        </w:rPr>
      </w:pPr>
      <w:r>
        <w:rPr>
          <w:rFonts w:asciiTheme="majorHAnsi" w:hAnsiTheme="majorHAnsi" w:cstheme="majorHAnsi"/>
          <w:b/>
          <w:bCs/>
          <w:color w:val="990033"/>
          <w:sz w:val="32"/>
          <w:szCs w:val="32"/>
        </w:rPr>
        <w:br/>
      </w:r>
    </w:p>
    <w:p w14:paraId="0C0B7194" w14:textId="77777777" w:rsidR="00DC4A67" w:rsidRDefault="00DC4A67">
      <w:pPr>
        <w:rPr>
          <w:rFonts w:asciiTheme="majorHAnsi" w:hAnsiTheme="majorHAnsi" w:cstheme="majorHAnsi"/>
          <w:b/>
          <w:bCs/>
          <w:color w:val="990033"/>
          <w:sz w:val="32"/>
          <w:szCs w:val="32"/>
        </w:rPr>
      </w:pPr>
      <w:r>
        <w:rPr>
          <w:rFonts w:asciiTheme="majorHAnsi" w:hAnsiTheme="majorHAnsi" w:cstheme="majorHAnsi"/>
          <w:b/>
          <w:bCs/>
          <w:color w:val="990033"/>
          <w:sz w:val="32"/>
          <w:szCs w:val="32"/>
        </w:rPr>
        <w:br w:type="page"/>
      </w:r>
    </w:p>
    <w:p w14:paraId="2E1100E6" w14:textId="77777777" w:rsidR="00304AB4" w:rsidRDefault="00304AB4">
      <w:pPr>
        <w:rPr>
          <w:rFonts w:asciiTheme="majorHAnsi" w:hAnsiTheme="majorHAnsi" w:cstheme="majorHAnsi"/>
          <w:b/>
          <w:bCs/>
          <w:color w:val="990033"/>
          <w:sz w:val="32"/>
          <w:szCs w:val="32"/>
        </w:rPr>
      </w:pPr>
    </w:p>
    <w:p w14:paraId="5D5C51FE" w14:textId="77777777" w:rsidR="00876D4C" w:rsidRDefault="00876D4C">
      <w:pPr>
        <w:rPr>
          <w:rFonts w:asciiTheme="majorHAnsi" w:hAnsiTheme="majorHAnsi" w:cstheme="majorHAnsi"/>
          <w:b/>
          <w:bCs/>
          <w:color w:val="990033"/>
          <w:sz w:val="32"/>
          <w:szCs w:val="32"/>
        </w:rPr>
      </w:pPr>
      <w:r w:rsidRPr="00876D4C">
        <w:rPr>
          <w:rFonts w:asciiTheme="majorHAnsi" w:hAnsiTheme="majorHAnsi" w:cstheme="majorHAnsi"/>
          <w:b/>
          <w:bCs/>
          <w:color w:val="990033"/>
          <w:sz w:val="32"/>
          <w:szCs w:val="32"/>
        </w:rPr>
        <w:t>Clinical Frailty Scale</w:t>
      </w:r>
      <w:r w:rsidR="00D37C79">
        <w:rPr>
          <w:rFonts w:asciiTheme="majorHAnsi" w:hAnsiTheme="majorHAnsi" w:cstheme="majorHAnsi"/>
          <w:b/>
          <w:bCs/>
          <w:color w:val="990033"/>
          <w:sz w:val="32"/>
          <w:szCs w:val="32"/>
        </w:rPr>
        <w:t xml:space="preserve"> Guidance and Training</w:t>
      </w:r>
      <w:r w:rsidRPr="00876D4C">
        <w:rPr>
          <w:rFonts w:asciiTheme="majorHAnsi" w:hAnsiTheme="majorHAnsi" w:cstheme="majorHAnsi"/>
          <w:b/>
          <w:bCs/>
          <w:color w:val="990033"/>
          <w:sz w:val="32"/>
          <w:szCs w:val="32"/>
        </w:rPr>
        <w:t>:</w:t>
      </w:r>
    </w:p>
    <w:p w14:paraId="39C26054" w14:textId="77777777" w:rsidR="00D37C79" w:rsidRDefault="00876D4C">
      <w:pPr>
        <w:rPr>
          <w:rFonts w:cstheme="minorHAnsi"/>
          <w:color w:val="242424"/>
          <w:shd w:val="clear" w:color="auto" w:fill="FFFFFF"/>
        </w:rPr>
      </w:pPr>
      <w:r w:rsidRPr="00876D4C">
        <w:rPr>
          <w:rFonts w:cstheme="minorHAnsi"/>
          <w:color w:val="242424"/>
          <w:shd w:val="clear" w:color="auto" w:fill="FFFFFF"/>
        </w:rPr>
        <w:t>Guidance for using the </w:t>
      </w:r>
      <w:r w:rsidRPr="00876D4C">
        <w:rPr>
          <w:rFonts w:cstheme="minorHAnsi"/>
          <w:b/>
          <w:bCs/>
          <w:color w:val="242424"/>
          <w:shd w:val="clear" w:color="auto" w:fill="FFFFFF"/>
        </w:rPr>
        <w:t>Clinical Frailty Scale</w:t>
      </w:r>
      <w:r w:rsidRPr="00876D4C">
        <w:rPr>
          <w:rFonts w:cstheme="minorHAnsi"/>
          <w:color w:val="242424"/>
          <w:shd w:val="clear" w:color="auto" w:fill="FFFFFF"/>
        </w:rPr>
        <w:t> has been published in </w:t>
      </w:r>
      <w:r w:rsidR="00D37C79">
        <w:rPr>
          <w:rFonts w:cstheme="minorHAnsi"/>
          <w:color w:val="242424"/>
          <w:shd w:val="clear" w:color="auto" w:fill="FFFFFF"/>
        </w:rPr>
        <w:br/>
      </w:r>
      <w:hyperlink r:id="rId9" w:history="1">
        <w:r w:rsidRPr="00876D4C">
          <w:rPr>
            <w:rStyle w:val="Hyperlink"/>
            <w:rFonts w:cstheme="minorHAnsi"/>
            <w:color w:val="627AAD"/>
            <w:bdr w:val="none" w:sz="0" w:space="0" w:color="auto" w:frame="1"/>
            <w:shd w:val="clear" w:color="auto" w:fill="FFFFFF"/>
          </w:rPr>
          <w:t>Rockwood K, Theou O. Using the Clinical Frailty Scale in allocating scarce health care resources. </w:t>
        </w:r>
        <w:r w:rsidRPr="00876D4C">
          <w:rPr>
            <w:rStyle w:val="Hyperlink"/>
            <w:rFonts w:cstheme="minorHAnsi"/>
            <w:i/>
            <w:iCs/>
            <w:color w:val="627AAD"/>
            <w:bdr w:val="none" w:sz="0" w:space="0" w:color="auto" w:frame="1"/>
            <w:shd w:val="clear" w:color="auto" w:fill="FFFFFF"/>
          </w:rPr>
          <w:t>Can Geriatr J.</w:t>
        </w:r>
        <w:r w:rsidRPr="00876D4C">
          <w:rPr>
            <w:rStyle w:val="Hyperlink"/>
            <w:rFonts w:cstheme="minorHAnsi"/>
            <w:color w:val="627AAD"/>
            <w:bdr w:val="none" w:sz="0" w:space="0" w:color="auto" w:frame="1"/>
            <w:shd w:val="clear" w:color="auto" w:fill="FFFFFF"/>
          </w:rPr>
          <w:t> </w:t>
        </w:r>
        <w:proofErr w:type="gramStart"/>
        <w:r w:rsidRPr="00876D4C">
          <w:rPr>
            <w:rStyle w:val="Hyperlink"/>
            <w:rFonts w:cstheme="minorHAnsi"/>
            <w:color w:val="627AAD"/>
            <w:bdr w:val="none" w:sz="0" w:space="0" w:color="auto" w:frame="1"/>
            <w:shd w:val="clear" w:color="auto" w:fill="FFFFFF"/>
          </w:rPr>
          <w:t>2020;23:254</w:t>
        </w:r>
        <w:proofErr w:type="gramEnd"/>
        <w:r w:rsidRPr="00876D4C">
          <w:rPr>
            <w:rStyle w:val="Hyperlink"/>
            <w:rFonts w:cstheme="minorHAnsi"/>
            <w:color w:val="627AAD"/>
            <w:bdr w:val="none" w:sz="0" w:space="0" w:color="auto" w:frame="1"/>
            <w:shd w:val="clear" w:color="auto" w:fill="FFFFFF"/>
          </w:rPr>
          <w:t>-259</w:t>
        </w:r>
      </w:hyperlink>
      <w:r w:rsidRPr="00876D4C">
        <w:rPr>
          <w:rFonts w:cstheme="minorHAnsi"/>
          <w:color w:val="242424"/>
          <w:shd w:val="clear" w:color="auto" w:fill="FFFFFF"/>
        </w:rPr>
        <w:t>.</w:t>
      </w:r>
    </w:p>
    <w:p w14:paraId="70F6554C" w14:textId="77777777" w:rsidR="00D37C79" w:rsidRDefault="00D37C79">
      <w:pPr>
        <w:rPr>
          <w:rFonts w:cstheme="minorHAnsi"/>
          <w:color w:val="242424"/>
          <w:shd w:val="clear" w:color="auto" w:fill="FFFFFF"/>
        </w:rPr>
      </w:pPr>
      <w:r>
        <w:rPr>
          <w:rFonts w:cstheme="minorHAnsi"/>
          <w:color w:val="242424"/>
          <w:shd w:val="clear" w:color="auto" w:fill="FFFFFF"/>
        </w:rPr>
        <w:t>Excerpt from above mentioned manuscript:</w:t>
      </w:r>
    </w:p>
    <w:p w14:paraId="35333C32" w14:textId="77777777" w:rsidR="00D37C79" w:rsidRPr="00D37C79" w:rsidRDefault="00D37C79">
      <w:pPr>
        <w:rPr>
          <w:shd w:val="clear" w:color="auto" w:fill="FFFFFF"/>
        </w:rPr>
      </w:pPr>
      <w:r w:rsidRPr="00D37C79">
        <w:rPr>
          <w:b/>
          <w:bCs/>
          <w:shd w:val="clear" w:color="auto" w:fill="FFFFFF"/>
        </w:rPr>
        <w:t>Using the Clinical Frailty Scale to Grade Degrees of Fitness Prior to the Level of Risk Associated with Frailty</w:t>
      </w:r>
      <w:r w:rsidRPr="00D37C79">
        <w:rPr>
          <w:shd w:val="clear" w:color="auto" w:fill="FFFFFF"/>
        </w:rPr>
        <w:t xml:space="preserve"> </w:t>
      </w:r>
      <w:r w:rsidRPr="00D37C79">
        <w:rPr>
          <w:shd w:val="clear" w:color="auto" w:fill="FFFFFF"/>
        </w:rPr>
        <w:br/>
        <w:t xml:space="preserve">How a person moves, functions, and think helps to delineate the first three levels of the scale. For example, consider a patient who is not impaired in any instrumental or personal activity of daily living (ADL), who is able to move readily, and who is taking an angioconverting enzyme (ACE) inhibitor. If that person is taking the ACE inhibitor for treatment of hypertension and exercises or engages in vigorous activity daily, their score would be </w:t>
      </w:r>
      <w:r w:rsidRPr="00D37C79">
        <w:rPr>
          <w:b/>
          <w:bCs/>
          <w:shd w:val="clear" w:color="auto" w:fill="FFFFFF"/>
        </w:rPr>
        <w:t>Level 1– Very Fit</w:t>
      </w:r>
      <w:r w:rsidRPr="00D37C79">
        <w:rPr>
          <w:shd w:val="clear" w:color="auto" w:fill="FFFFFF"/>
        </w:rPr>
        <w:t xml:space="preserve">. The same profile, with regular but less frequent or less vigorous physical activity would be scored as </w:t>
      </w:r>
      <w:r w:rsidRPr="00D37C79">
        <w:rPr>
          <w:b/>
          <w:bCs/>
          <w:shd w:val="clear" w:color="auto" w:fill="FFFFFF"/>
        </w:rPr>
        <w:t>Level 2 – Fit</w:t>
      </w:r>
      <w:r w:rsidRPr="00D37C79">
        <w:rPr>
          <w:shd w:val="clear" w:color="auto" w:fill="FFFFFF"/>
        </w:rPr>
        <w:t xml:space="preserve"> (previously “Well”). Another person who fits the broad description and who is using the ACE inhibitor as part of post myocardial infarction management, but whose ischemic heart disease has been otherwise asymptomatic, would also be</w:t>
      </w:r>
      <w:r w:rsidR="007C568A">
        <w:rPr>
          <w:shd w:val="clear" w:color="auto" w:fill="FFFFFF"/>
        </w:rPr>
        <w:t xml:space="preserve"> </w:t>
      </w:r>
      <w:r w:rsidRPr="00D37C79">
        <w:rPr>
          <w:shd w:val="clear" w:color="auto" w:fill="FFFFFF"/>
        </w:rPr>
        <w:t xml:space="preserve">scored based on their degree of physical activity. If their symptoms were mostly controlled, but not entirely so, they would be scored as </w:t>
      </w:r>
      <w:r w:rsidR="007C568A">
        <w:rPr>
          <w:shd w:val="clear" w:color="auto" w:fill="FFFFFF"/>
        </w:rPr>
        <w:br/>
      </w:r>
      <w:r w:rsidRPr="007C568A">
        <w:rPr>
          <w:b/>
          <w:bCs/>
          <w:shd w:val="clear" w:color="auto" w:fill="FFFFFF"/>
        </w:rPr>
        <w:t>Level 3 – Managing Well</w:t>
      </w:r>
      <w:r w:rsidRPr="00D37C79">
        <w:rPr>
          <w:shd w:val="clear" w:color="auto" w:fill="FFFFFF"/>
        </w:rPr>
        <w:t xml:space="preserve">. Likewise, a person on an ACE inhibitor as part of symptomatic management of congestive heart failure would be scored as </w:t>
      </w:r>
      <w:r w:rsidRPr="007C568A">
        <w:rPr>
          <w:shd w:val="clear" w:color="auto" w:fill="FFFFFF"/>
        </w:rPr>
        <w:t xml:space="preserve">Level 3 – Managing Well, </w:t>
      </w:r>
      <w:proofErr w:type="gramStart"/>
      <w:r w:rsidRPr="007C568A">
        <w:rPr>
          <w:shd w:val="clear" w:color="auto" w:fill="FFFFFF"/>
        </w:rPr>
        <w:t>as</w:t>
      </w:r>
      <w:r w:rsidRPr="00D37C79">
        <w:rPr>
          <w:shd w:val="clear" w:color="auto" w:fill="FFFFFF"/>
        </w:rPr>
        <w:t xml:space="preserve"> long as</w:t>
      </w:r>
      <w:proofErr w:type="gramEnd"/>
      <w:r w:rsidRPr="00D37C79">
        <w:rPr>
          <w:shd w:val="clear" w:color="auto" w:fill="FFFFFF"/>
        </w:rPr>
        <w:t xml:space="preserve"> their symptoms did not limit activities, in which case they would be scored as Level 4 – Living with Very Mild Frailty (previously “Vulnerable”).</w:t>
      </w:r>
    </w:p>
    <w:p w14:paraId="0999201C" w14:textId="77777777" w:rsidR="0094083B" w:rsidRDefault="00D37C79">
      <w:pPr>
        <w:rPr>
          <w:shd w:val="clear" w:color="auto" w:fill="FFFFFF"/>
        </w:rPr>
      </w:pPr>
      <w:r w:rsidRPr="00D37C79">
        <w:rPr>
          <w:b/>
          <w:bCs/>
          <w:shd w:val="clear" w:color="auto" w:fill="FFFFFF"/>
        </w:rPr>
        <w:t xml:space="preserve">Using the Clinical Frailty Scale to Grade Clinically Meaningfully Increased Risk </w:t>
      </w:r>
      <w:r w:rsidRPr="00D37C79">
        <w:rPr>
          <w:b/>
          <w:bCs/>
          <w:shd w:val="clear" w:color="auto" w:fill="FFFFFF"/>
        </w:rPr>
        <w:br/>
      </w:r>
      <w:r w:rsidRPr="00D37C79">
        <w:rPr>
          <w:shd w:val="clear" w:color="auto" w:fill="FFFFFF"/>
        </w:rPr>
        <w:t xml:space="preserve">For Levels 4 to 7, mobility, function, and cognition are key factors. Each reflects high-order aspects of health: they integrate a lot of information. This means that there are many ways to have mobility problems, for example:  a sprained ankle, diabetic nerve damage, dehydration, heart failure, kidney damage or pneumonia.  In consequence, these key domains are sensitive signs of health, but are not very specific. It is the combination of impaired function and impaired mobility, which are commonly accompanied by several illnesses, that make it likely someone is frail. </w:t>
      </w:r>
      <w:r>
        <w:rPr>
          <w:shd w:val="clear" w:color="auto" w:fill="FFFFFF"/>
        </w:rPr>
        <w:br/>
      </w:r>
      <w:r w:rsidRPr="00D37C79">
        <w:rPr>
          <w:b/>
          <w:bCs/>
          <w:shd w:val="clear" w:color="auto" w:fill="FFFFFF"/>
        </w:rPr>
        <w:t>Level 4</w:t>
      </w:r>
      <w:r w:rsidRPr="00D37C79">
        <w:rPr>
          <w:shd w:val="clear" w:color="auto" w:fill="FFFFFF"/>
        </w:rPr>
        <w:t xml:space="preserve"> – previously “Vulnerable” is now </w:t>
      </w:r>
      <w:r w:rsidRPr="00D37C79">
        <w:rPr>
          <w:b/>
          <w:bCs/>
          <w:shd w:val="clear" w:color="auto" w:fill="FFFFFF"/>
        </w:rPr>
        <w:t>Living with Very Mild Frailty</w:t>
      </w:r>
      <w:r w:rsidRPr="00D37C79">
        <w:rPr>
          <w:shd w:val="clear" w:color="auto" w:fill="FFFFFF"/>
        </w:rPr>
        <w:t>, reflecting recent research with the Canadian Longitudinal Study of Aging that captures the increased risk with the corresponding degree of deficit accumulation.</w:t>
      </w:r>
      <w:r>
        <w:rPr>
          <w:shd w:val="clear" w:color="auto" w:fill="FFFFFF"/>
        </w:rPr>
        <w:t xml:space="preserve">  </w:t>
      </w:r>
      <w:r w:rsidRPr="00D37C79">
        <w:rPr>
          <w:shd w:val="clear" w:color="auto" w:fill="FFFFFF"/>
        </w:rPr>
        <w:t>People with many chronic conditions often report incomplete symptom control, and of feeling “slowed up” or tired. A similar complaint is that their health stands in the way of doing as they wish, or that what they had done easily is now accomplished only with great effort. Otherwise, Level 4 is characterized by the person who, although not completely dependent in performing daily activities, seems at risk of at least mild dependence. Identifiable characteristics of this risk include incomplete symptom control and a reduction in demanding activities.  Problems with heavy housework, lifting (e.g., difficulty taking out the trash) or climbing more than a flight of stairs are useful signs. Although these activities might still be attempted, often they are not done as well or as often. When asked, “compared to others of your own age, how would you rate your health?”, many at this stage will no longer rate their health as “excellent” or even “good”, but rather as “fair” or “</w:t>
      </w:r>
      <w:r w:rsidR="007C568A" w:rsidRPr="00D37C79">
        <w:rPr>
          <w:shd w:val="clear" w:color="auto" w:fill="FFFFFF"/>
        </w:rPr>
        <w:t>poor”. Levels</w:t>
      </w:r>
      <w:r w:rsidRPr="00D37C79">
        <w:rPr>
          <w:shd w:val="clear" w:color="auto" w:fill="FFFFFF"/>
        </w:rPr>
        <w:t xml:space="preserve"> 5 to 7 relate to changes in function. Varying degrees of dependence in instrumental ADLs define</w:t>
      </w:r>
      <w:r w:rsidR="007C568A">
        <w:rPr>
          <w:shd w:val="clear" w:color="auto" w:fill="FFFFFF"/>
        </w:rPr>
        <w:t>.</w:t>
      </w:r>
      <w:r w:rsidRPr="00D37C79">
        <w:rPr>
          <w:shd w:val="clear" w:color="auto" w:fill="FFFFFF"/>
        </w:rPr>
        <w:t xml:space="preserve"> </w:t>
      </w:r>
      <w:r>
        <w:rPr>
          <w:shd w:val="clear" w:color="auto" w:fill="FFFFFF"/>
        </w:rPr>
        <w:br/>
      </w:r>
      <w:r w:rsidRPr="00D37C79">
        <w:rPr>
          <w:b/>
          <w:bCs/>
          <w:shd w:val="clear" w:color="auto" w:fill="FFFFFF"/>
        </w:rPr>
        <w:t>Level 5 – Living with Mild Frailty</w:t>
      </w:r>
      <w:r w:rsidRPr="00D37C79">
        <w:rPr>
          <w:shd w:val="clear" w:color="auto" w:fill="FFFFFF"/>
        </w:rPr>
        <w:t xml:space="preserve"> (previously “Mildly Frail”). At this level, typically, there is no more pretense of doing heavy housework or the </w:t>
      </w:r>
      <w:r w:rsidR="007C568A">
        <w:rPr>
          <w:shd w:val="clear" w:color="auto" w:fill="FFFFFF"/>
        </w:rPr>
        <w:t>l</w:t>
      </w:r>
      <w:r w:rsidR="007C568A" w:rsidRPr="00D37C79">
        <w:rPr>
          <w:shd w:val="clear" w:color="auto" w:fill="FFFFFF"/>
        </w:rPr>
        <w:t>ike items</w:t>
      </w:r>
      <w:r w:rsidRPr="00D37C79">
        <w:rPr>
          <w:shd w:val="clear" w:color="auto" w:fill="FFFFFF"/>
        </w:rPr>
        <w:t xml:space="preserve"> that began to be impaired in Level 4. A person does not need to be dependent in all demanding activities to qualify as Level 4, nor in all aspects of instrumental ADLs to qualify as Level 5. We are interested in change; someone who never did the banking would not now be scored as dependent in that. </w:t>
      </w:r>
      <w:r>
        <w:rPr>
          <w:shd w:val="clear" w:color="auto" w:fill="FFFFFF"/>
        </w:rPr>
        <w:br/>
      </w:r>
      <w:r w:rsidRPr="00D37C79">
        <w:rPr>
          <w:shd w:val="clear" w:color="auto" w:fill="FFFFFF"/>
        </w:rPr>
        <w:t xml:space="preserve">With </w:t>
      </w:r>
      <w:r w:rsidRPr="00D37C79">
        <w:rPr>
          <w:b/>
          <w:bCs/>
          <w:shd w:val="clear" w:color="auto" w:fill="FFFFFF"/>
        </w:rPr>
        <w:t>Level 6 – Living with Moderate Frailty</w:t>
      </w:r>
      <w:r w:rsidRPr="00D37C79">
        <w:rPr>
          <w:shd w:val="clear" w:color="auto" w:fill="FFFFFF"/>
        </w:rPr>
        <w:t xml:space="preserve"> (previously “Moderately Frail”), dependence now extends past instrumental ADLs to intermediate ones, notably including dependence in bathing. Often at this level minimal assistance with </w:t>
      </w:r>
    </w:p>
    <w:p w14:paraId="527192C2" w14:textId="77777777" w:rsidR="0094083B" w:rsidRDefault="0094083B">
      <w:pPr>
        <w:rPr>
          <w:shd w:val="clear" w:color="auto" w:fill="FFFFFF"/>
        </w:rPr>
      </w:pPr>
    </w:p>
    <w:p w14:paraId="6A180C58" w14:textId="77777777" w:rsidR="00D37C79" w:rsidRPr="00304AB4" w:rsidRDefault="00D37C79">
      <w:pPr>
        <w:rPr>
          <w:shd w:val="clear" w:color="auto" w:fill="FFFFFF"/>
        </w:rPr>
      </w:pPr>
      <w:r w:rsidRPr="00D37C79">
        <w:rPr>
          <w:shd w:val="clear" w:color="auto" w:fill="FFFFFF"/>
        </w:rPr>
        <w:t xml:space="preserve">personal care might be needed. Moderate dementia is the case when people who are dependent in their performance of instrumental ADLs can still do their basic or personal ADLs with prompting. This can also be the case in people who are cognitively intact, but whose disability obliges them to have someone nearby (so-called “standby assistance” or “set-up”). </w:t>
      </w:r>
      <w:proofErr w:type="gramStart"/>
      <w:r w:rsidRPr="00D37C79">
        <w:rPr>
          <w:shd w:val="clear" w:color="auto" w:fill="FFFFFF"/>
        </w:rPr>
        <w:t>Again</w:t>
      </w:r>
      <w:proofErr w:type="gramEnd"/>
      <w:r w:rsidRPr="00D37C79">
        <w:rPr>
          <w:shd w:val="clear" w:color="auto" w:fill="FFFFFF"/>
        </w:rPr>
        <w:t xml:space="preserve"> considering</w:t>
      </w:r>
      <w:r>
        <w:rPr>
          <w:shd w:val="clear" w:color="auto" w:fill="FFFFFF"/>
        </w:rPr>
        <w:t xml:space="preserve"> </w:t>
      </w:r>
      <w:r w:rsidRPr="00D37C79">
        <w:rPr>
          <w:shd w:val="clear" w:color="auto" w:fill="FFFFFF"/>
        </w:rPr>
        <w:t>bathing, an example of moderate frailty might be requiring someone to draw the bath when the dis-abled person has difficulty managing the taps, or assisting with transferring in and out of the tub, or washing their hair. Notably, a systematic review found that bathing disability is a risk factor for greater disability in personal ADLs.</w:t>
      </w:r>
      <w:r>
        <w:rPr>
          <w:shd w:val="clear" w:color="auto" w:fill="FFFFFF"/>
        </w:rPr>
        <w:br/>
      </w:r>
      <w:r w:rsidRPr="00D37C79">
        <w:rPr>
          <w:b/>
          <w:bCs/>
          <w:shd w:val="clear" w:color="auto" w:fill="FFFFFF"/>
        </w:rPr>
        <w:t>Level 7 – Living with Severe Frailty</w:t>
      </w:r>
      <w:r w:rsidRPr="00D37C79">
        <w:rPr>
          <w:shd w:val="clear" w:color="auto" w:fill="FFFFFF"/>
        </w:rPr>
        <w:t xml:space="preserve"> (previously “Severely Frail”) is characterized by progressive dependence in personal ADLs. People need not be dependent in every aspect of personal care to be scored as Level 7. When assessing functional dependence in intermediate (Level 6) and personal (Level 7) ADLs, lifelong habit is a less relevant consideration; most everyone needs to bathe, groom, and use the toilet. Still, people living with severe frailty can be mobile. Progressively taking to bed—but not being largely bedfast—is the hallmark of the progression of severe frailty. </w:t>
      </w:r>
    </w:p>
    <w:p w14:paraId="379E6D14" w14:textId="77777777" w:rsidR="00D37C79" w:rsidRDefault="00D37C79">
      <w:pPr>
        <w:rPr>
          <w:shd w:val="clear" w:color="auto" w:fill="FFFFFF"/>
        </w:rPr>
      </w:pPr>
      <w:r w:rsidRPr="00D37C79">
        <w:rPr>
          <w:b/>
          <w:bCs/>
          <w:shd w:val="clear" w:color="auto" w:fill="FFFFFF"/>
        </w:rPr>
        <w:t>Using the Clinical Frailty Scale in People Towards the End of Life</w:t>
      </w:r>
      <w:r>
        <w:rPr>
          <w:shd w:val="clear" w:color="auto" w:fill="FFFFFF"/>
        </w:rPr>
        <w:br/>
      </w:r>
      <w:r w:rsidRPr="00D37C79">
        <w:rPr>
          <w:shd w:val="clear" w:color="auto" w:fill="FFFFFF"/>
        </w:rPr>
        <w:t>The understanding of what happens at the end</w:t>
      </w:r>
      <w:r>
        <w:rPr>
          <w:shd w:val="clear" w:color="auto" w:fill="FFFFFF"/>
        </w:rPr>
        <w:t xml:space="preserve"> </w:t>
      </w:r>
      <w:r w:rsidRPr="00D37C79">
        <w:rPr>
          <w:shd w:val="clear" w:color="auto" w:fill="FFFFFF"/>
        </w:rPr>
        <w:t>of life has evolved in relation to its association with ageing. Older people who are terminally ill are much more likely to receive formal palliative care if they have a diagnosis of cancer than if they have a disease wit</w:t>
      </w:r>
      <w:r>
        <w:rPr>
          <w:shd w:val="clear" w:color="auto" w:fill="FFFFFF"/>
        </w:rPr>
        <w:t>h</w:t>
      </w:r>
      <w:r w:rsidRPr="00D37C79">
        <w:rPr>
          <w:shd w:val="clear" w:color="auto" w:fill="FFFFFF"/>
        </w:rPr>
        <w:t xml:space="preserve"> a recognized terminal phase, such as dementia or heart failure.  </w:t>
      </w:r>
      <w:r>
        <w:rPr>
          <w:shd w:val="clear" w:color="auto" w:fill="FFFFFF"/>
        </w:rPr>
        <w:br/>
      </w:r>
      <w:r w:rsidRPr="00D37C79">
        <w:rPr>
          <w:b/>
          <w:bCs/>
          <w:shd w:val="clear" w:color="auto" w:fill="FFFFFF"/>
        </w:rPr>
        <w:t>Level 8 – Living with Very Severe Frailty</w:t>
      </w:r>
      <w:r w:rsidRPr="00D37C79">
        <w:rPr>
          <w:shd w:val="clear" w:color="auto" w:fill="FFFFFF"/>
        </w:rPr>
        <w:t xml:space="preserve"> (previously “Very Severely Frail”)</w:t>
      </w:r>
      <w:r>
        <w:rPr>
          <w:shd w:val="clear" w:color="auto" w:fill="FFFFFF"/>
        </w:rPr>
        <w:t xml:space="preserve"> </w:t>
      </w:r>
      <w:r w:rsidRPr="00D37C79">
        <w:rPr>
          <w:shd w:val="clear" w:color="auto" w:fill="FFFFFF"/>
        </w:rPr>
        <w:t xml:space="preserve">is the not uncommon state in which a frail person takes to bed, often for weeks, prior to dying. This is either heralded by an identifiable episode, such as an infection, or the person just slips away, commonly after some days of reduced oral intake. Very severely frail people who die without a single apparent cause typically follow such a trajectory, commonly without much pain or even distress, often, </w:t>
      </w:r>
      <w:proofErr w:type="gramStart"/>
      <w:r w:rsidRPr="00D37C79">
        <w:rPr>
          <w:shd w:val="clear" w:color="auto" w:fill="FFFFFF"/>
        </w:rPr>
        <w:t>with the exception of</w:t>
      </w:r>
      <w:proofErr w:type="gramEnd"/>
      <w:r w:rsidRPr="00D37C79">
        <w:rPr>
          <w:shd w:val="clear" w:color="auto" w:fill="FFFFFF"/>
        </w:rPr>
        <w:t xml:space="preserve"> impaired bowel function. </w:t>
      </w:r>
      <w:r>
        <w:rPr>
          <w:shd w:val="clear" w:color="auto" w:fill="FFFFFF"/>
        </w:rPr>
        <w:br/>
      </w:r>
      <w:r w:rsidRPr="00D37C79">
        <w:rPr>
          <w:b/>
          <w:bCs/>
          <w:shd w:val="clear" w:color="auto" w:fill="FFFFFF"/>
        </w:rPr>
        <w:t>Level 9 – Terminally Ill</w:t>
      </w:r>
      <w:r w:rsidRPr="00D37C79">
        <w:rPr>
          <w:shd w:val="clear" w:color="auto" w:fill="FFFFFF"/>
        </w:rPr>
        <w:t xml:space="preserve"> is notable for being the only level in which the current state trumps the baseline state, in that the terminally ill person might have been operating at any frailty level at baseline.  On the Clinical Frailty Scale card, this person is pictured seated in a chair. This reflects the fact that many older adults who are dying with a single system illness—notably cancer—have a reasonable level of function until about the very end. That is why we portray the situation in that way. Even so, if a terminally ill person was completely dependent for personal care at baseline, they would be scored as Level 8. </w:t>
      </w:r>
    </w:p>
    <w:p w14:paraId="53CB5B53" w14:textId="77777777" w:rsidR="007C568A" w:rsidRDefault="00D37C79">
      <w:pPr>
        <w:rPr>
          <w:sz w:val="25"/>
          <w:szCs w:val="25"/>
          <w:shd w:val="clear" w:color="auto" w:fill="FFFFFF"/>
        </w:rPr>
      </w:pPr>
      <w:r w:rsidRPr="00D37C79">
        <w:rPr>
          <w:b/>
          <w:bCs/>
          <w:shd w:val="clear" w:color="auto" w:fill="FFFFFF"/>
        </w:rPr>
        <w:t>Final Hints About Scoring and Next Steps</w:t>
      </w:r>
      <w:r>
        <w:rPr>
          <w:shd w:val="clear" w:color="auto" w:fill="FFFFFF"/>
        </w:rPr>
        <w:br/>
      </w:r>
      <w:r w:rsidRPr="00D37C79">
        <w:rPr>
          <w:shd w:val="clear" w:color="auto" w:fill="FFFFFF"/>
        </w:rPr>
        <w:t>Within each leve</w:t>
      </w:r>
      <w:r>
        <w:rPr>
          <w:shd w:val="clear" w:color="auto" w:fill="FFFFFF"/>
        </w:rPr>
        <w:t>l</w:t>
      </w:r>
      <w:r w:rsidRPr="00D37C79">
        <w:rPr>
          <w:shd w:val="clear" w:color="auto" w:fill="FFFFFF"/>
        </w:rPr>
        <w:t xml:space="preserve"> of the Clinical Frailty Scale, individual characteristics will vary. About 80% or more of people will fit the description offered for a given level. If they fit two categories equally well, in routine care it is best to score the scale at the higher or more dependent level. Sometimes we see people who are dependent in a single instrumental ADL that arises in a specific circumstance (e.g., relying on someone whom they trust to do banking duties due to the closure of a nearby bank branch or difficulty with the automated banking). In that case, the determination will often rest on the extent to which the person is aware of income and outflow; being aware of it and knowing that it remains a matter of importance can suffice. We recognize that there is likely to be some variability in judgement in these circumstances, especially in the extent to which the rater or the person (or the informant) feel comfortable discussing such matters. This is inherent in a judgement-based measure and, in our view, a price worth paying compared with attempting to automate scoring that can specify all the variants its designers can imagine.</w:t>
      </w:r>
      <w:r>
        <w:rPr>
          <w:sz w:val="25"/>
          <w:szCs w:val="25"/>
          <w:shd w:val="clear" w:color="auto" w:fill="FFFFFF"/>
        </w:rPr>
        <w:t xml:space="preserve"> </w:t>
      </w:r>
    </w:p>
    <w:p w14:paraId="3B7B6ECC" w14:textId="77777777" w:rsidR="007C568A" w:rsidRDefault="007C568A">
      <w:pPr>
        <w:rPr>
          <w:sz w:val="25"/>
          <w:szCs w:val="25"/>
          <w:shd w:val="clear" w:color="auto" w:fill="FFFFFF"/>
        </w:rPr>
      </w:pPr>
      <w:r>
        <w:rPr>
          <w:sz w:val="25"/>
          <w:szCs w:val="25"/>
          <w:shd w:val="clear" w:color="auto" w:fill="FFFFFF"/>
        </w:rPr>
        <w:br w:type="page"/>
      </w:r>
    </w:p>
    <w:p w14:paraId="09565451" w14:textId="77777777" w:rsidR="004A0884" w:rsidRPr="00D37C79" w:rsidRDefault="007C568A" w:rsidP="007C568A">
      <w:pPr>
        <w:jc w:val="center"/>
        <w:rPr>
          <w:shd w:val="clear" w:color="auto" w:fill="FFFFFF"/>
        </w:rPr>
      </w:pPr>
      <w:r>
        <w:rPr>
          <w:noProof/>
          <w14:ligatures w14:val="standardContextual"/>
        </w:rPr>
        <w:lastRenderedPageBreak/>
        <w:drawing>
          <wp:inline distT="0" distB="0" distL="0" distR="0" wp14:anchorId="67B18623" wp14:editId="2073DE29">
            <wp:extent cx="6569422" cy="8762465"/>
            <wp:effectExtent l="0" t="0" r="3175" b="635"/>
            <wp:docPr id="1305696575" name="Picture 1" descr="A black and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96575" name="Picture 1" descr="A black and white page with black text&#10;&#10;Description automatically generated"/>
                    <pic:cNvPicPr/>
                  </pic:nvPicPr>
                  <pic:blipFill>
                    <a:blip r:embed="rId10"/>
                    <a:stretch>
                      <a:fillRect/>
                    </a:stretch>
                  </pic:blipFill>
                  <pic:spPr>
                    <a:xfrm>
                      <a:off x="0" y="0"/>
                      <a:ext cx="6581280" cy="8778281"/>
                    </a:xfrm>
                    <a:prstGeom prst="rect">
                      <a:avLst/>
                    </a:prstGeom>
                  </pic:spPr>
                </pic:pic>
              </a:graphicData>
            </a:graphic>
          </wp:inline>
        </w:drawing>
      </w:r>
      <w:r w:rsidR="004A0884" w:rsidRPr="00876D4C">
        <w:rPr>
          <w:rFonts w:cstheme="minorHAnsi"/>
          <w:sz w:val="24"/>
          <w:szCs w:val="24"/>
        </w:rPr>
        <w:br w:type="page"/>
      </w:r>
    </w:p>
    <w:p w14:paraId="4FED507C" w14:textId="77777777" w:rsidR="004A0884" w:rsidRDefault="004A0884" w:rsidP="004A0884">
      <w:pPr>
        <w:pStyle w:val="Heading1"/>
        <w:spacing w:before="0" w:line="240" w:lineRule="auto"/>
        <w:rPr>
          <w:b/>
          <w:bCs/>
          <w:color w:val="990033"/>
        </w:rPr>
      </w:pPr>
    </w:p>
    <w:p w14:paraId="5E359391" w14:textId="77777777" w:rsidR="007C568A" w:rsidRDefault="007C568A" w:rsidP="004A0884">
      <w:pPr>
        <w:pStyle w:val="Heading1"/>
        <w:spacing w:before="0" w:line="240" w:lineRule="auto"/>
        <w:rPr>
          <w:b/>
          <w:bCs/>
          <w:color w:val="990033"/>
        </w:rPr>
      </w:pPr>
      <w:r>
        <w:rPr>
          <w:b/>
          <w:bCs/>
          <w:color w:val="990033"/>
        </w:rPr>
        <w:t>Using the Clinical Frailty Scale to Rapidly Assay Grades of Fitness and Frailty:</w:t>
      </w:r>
      <w:r w:rsidR="000C18EE">
        <w:rPr>
          <w:b/>
          <w:bCs/>
          <w:color w:val="990033"/>
        </w:rPr>
        <w:br/>
      </w:r>
      <w:r w:rsidR="000C18EE" w:rsidRPr="000C18EE">
        <w:rPr>
          <w:color w:val="000000" w:themeColor="text1"/>
          <w:sz w:val="18"/>
          <w:szCs w:val="18"/>
        </w:rPr>
        <w:t xml:space="preserve">CFS Guidance Document – Version 2020-Apr-06 2 of </w:t>
      </w:r>
      <w:r w:rsidR="008E6A16" w:rsidRPr="000C18EE">
        <w:rPr>
          <w:color w:val="000000" w:themeColor="text1"/>
          <w:sz w:val="18"/>
          <w:szCs w:val="18"/>
        </w:rPr>
        <w:t>2 Geriatric</w:t>
      </w:r>
      <w:r w:rsidR="000C18EE" w:rsidRPr="000C18EE">
        <w:rPr>
          <w:color w:val="000000" w:themeColor="text1"/>
          <w:sz w:val="18"/>
          <w:szCs w:val="18"/>
        </w:rPr>
        <w:t xml:space="preserve"> Medicine Research | Dalhousie University, Halifax, Nova Scotia | gmru@dal.ca</w:t>
      </w:r>
    </w:p>
    <w:p w14:paraId="486AF871" w14:textId="77777777" w:rsidR="003E698F" w:rsidRDefault="003E698F" w:rsidP="007C568A">
      <w:r>
        <w:br/>
      </w:r>
      <w:r w:rsidRPr="003E698F">
        <w:t xml:space="preserve">The Clinical Frailty Scale (CFS) is an inclusive 9-point scale introduced to summarize the overall level of fitness or frailty of an older adult after they have been evaluated by a health care professional. (Here a health care professional is defined as anyone with a license or registration – </w:t>
      </w:r>
      <w:proofErr w:type="gramStart"/>
      <w:r w:rsidRPr="003E698F">
        <w:t>e.g.</w:t>
      </w:r>
      <w:proofErr w:type="gramEnd"/>
      <w:r w:rsidRPr="003E698F">
        <w:t xml:space="preserve"> MD, RN, LPN, OT, PT, SW, psychologist.) The CFS is scored so that higher scores mean greater risk. It is not a questionnaire, but a judgement-based tool to screen for frailty and to broadly stratify degrees of fitness and frailty.  </w:t>
      </w:r>
    </w:p>
    <w:p w14:paraId="4AC9EDED" w14:textId="77777777" w:rsidR="003E698F" w:rsidRDefault="003E698F" w:rsidP="007C568A">
      <w:r w:rsidRPr="003E698F">
        <w:t>Note that the CFS is not designed for people whose disabilities reflect single-system problems (</w:t>
      </w:r>
      <w:proofErr w:type="gramStart"/>
      <w:r w:rsidRPr="003E698F">
        <w:t>e.g.</w:t>
      </w:r>
      <w:proofErr w:type="gramEnd"/>
      <w:r w:rsidRPr="003E698F">
        <w:t xml:space="preserve"> spinal cord injury) or developmental delay, not a gradual accumulation of health deficits with age. The CFS focuses on a few items that can be readily observed without special training. The key point is to find out about the person’s baseline health state. This is especially needed in clinical settings where changes in how healthy someone appears can change quickly. For example, when older people are ill enough to come to the Emergency Department, even people who have been fit can appear frail.  </w:t>
      </w:r>
    </w:p>
    <w:p w14:paraId="3FB985FF" w14:textId="77777777" w:rsidR="003E698F" w:rsidRDefault="003E698F" w:rsidP="007C568A">
      <w:r w:rsidRPr="003E698F">
        <w:t>The baseline health state is what the person was like before they were ill (</w:t>
      </w:r>
      <w:proofErr w:type="gramStart"/>
      <w:r w:rsidRPr="003E698F">
        <w:t>i.e.</w:t>
      </w:r>
      <w:proofErr w:type="gramEnd"/>
      <w:r w:rsidRPr="003E698F">
        <w:t xml:space="preserve"> two weeks ago). It is hard for someone to get better than they were two weeks before they became ill. Understanding their baseline is essential in planning for their care. If the person themself cannot tell you about their health over the past two weeks, you must speak with someone who can. The more information you have about someone, the better you </w:t>
      </w:r>
      <w:proofErr w:type="gramStart"/>
      <w:r w:rsidRPr="003E698F">
        <w:t>are able to</w:t>
      </w:r>
      <w:proofErr w:type="gramEnd"/>
      <w:r w:rsidRPr="003E698F">
        <w:t xml:space="preserve"> score them on the scale. That is why it requires talking to someone who knows what the person is usually like. Scoring the CFS requires you to incorporate this information, with what you observe, and with what you know from experience in dealing with older adults. The CFS requires judgment; it’s not a questionnaire in which you write down whatever the patient tells you. If it is not clear to you, ask a colleague whose judgment you trust.  </w:t>
      </w:r>
    </w:p>
    <w:p w14:paraId="4B566CDD" w14:textId="77777777" w:rsidR="003E698F" w:rsidRDefault="003E698F" w:rsidP="007C568A">
      <w:r w:rsidRPr="003E698F">
        <w:t xml:space="preserve">The CFS is introduced by saying something like: “I’d like to know about how you are [your dad is] doing overall.” We then ask about four features: how the person moved, functioned, </w:t>
      </w:r>
      <w:proofErr w:type="gramStart"/>
      <w:r w:rsidRPr="003E698F">
        <w:t>thought</w:t>
      </w:r>
      <w:proofErr w:type="gramEnd"/>
      <w:r w:rsidRPr="003E698F">
        <w:t xml:space="preserve"> and felt about their health over the last two weeks. We can ask about which medications the person uses; experienced clinicians can quickly assay which illnesses are likely present from what medications are being prescribed and/or used. We also ask about how active an individual is. This allows the first three levels to be identified. For example, consider a patient who is not impaired in any instrumental or personal activity of daily living (ADL), who is able to move readily, and who is taking an ACE inhibitor. If that person taking the ACE inhibitor for treatment of hypertension, exercises or is otherwise engaged in vigorous activity daily, the CFS score would be </w:t>
      </w:r>
      <w:r w:rsidRPr="003E698F">
        <w:rPr>
          <w:b/>
          <w:bCs/>
        </w:rPr>
        <w:t>Level 1 – Very Fit</w:t>
      </w:r>
      <w:r w:rsidRPr="003E698F">
        <w:t xml:space="preserve">. The same profile, with regular but less frequent or less vigorous activity would be scored as </w:t>
      </w:r>
      <w:r w:rsidRPr="003E698F">
        <w:rPr>
          <w:b/>
          <w:bCs/>
        </w:rPr>
        <w:t>Level 2 - Well</w:t>
      </w:r>
      <w:r w:rsidRPr="003E698F">
        <w:t xml:space="preserve">. Another person who fits the broad description, and who is using the ACE inhibitor as part of post myocardial infarction management, but whose ischemic heart disease has been otherwise asymptomatic, would also be scored based on their degree of physical activity. If their symptoms were mostly controlled, but not entirely so, they would be scored as </w:t>
      </w:r>
      <w:r w:rsidRPr="003E698F">
        <w:rPr>
          <w:b/>
          <w:bCs/>
        </w:rPr>
        <w:t>Level 3 – Managing Well</w:t>
      </w:r>
      <w:r w:rsidRPr="003E698F">
        <w:t xml:space="preserve">. Likewise, a person on an ACE inhibitor as part of symptomatic management of congestive heart failure would be scored as Level 3 - Managing Well, </w:t>
      </w:r>
      <w:proofErr w:type="gramStart"/>
      <w:r w:rsidRPr="003E698F">
        <w:t>as long as</w:t>
      </w:r>
      <w:proofErr w:type="gramEnd"/>
      <w:r w:rsidRPr="003E698F">
        <w:t xml:space="preserve"> their symptoms did not limit activities, in which case they would be scored as </w:t>
      </w:r>
      <w:r w:rsidRPr="003E698F">
        <w:rPr>
          <w:b/>
          <w:bCs/>
        </w:rPr>
        <w:t>Level 4 - Vulnerable</w:t>
      </w:r>
      <w:r w:rsidRPr="003E698F">
        <w:t xml:space="preserve">. People with many chronic conditions often report incomplete symptom control, feeling slow, or tired A similar complaint is that their health stands in the way of doing as they wish.  </w:t>
      </w:r>
    </w:p>
    <w:p w14:paraId="4D9B4356" w14:textId="77777777" w:rsidR="00304AB4" w:rsidRDefault="00304AB4">
      <w:r>
        <w:br w:type="page"/>
      </w:r>
    </w:p>
    <w:p w14:paraId="5873070B" w14:textId="77777777" w:rsidR="0094083B" w:rsidRDefault="0094083B" w:rsidP="007C568A"/>
    <w:p w14:paraId="4FE211CE" w14:textId="77777777" w:rsidR="003E698F" w:rsidRDefault="003E698F" w:rsidP="007C568A">
      <w:r w:rsidRPr="003E698F">
        <w:t xml:space="preserve">For levels 4 to 7, mobility, </w:t>
      </w:r>
      <w:proofErr w:type="gramStart"/>
      <w:r w:rsidRPr="003E698F">
        <w:t>function</w:t>
      </w:r>
      <w:proofErr w:type="gramEnd"/>
      <w:r w:rsidRPr="003E698F">
        <w:t xml:space="preserve"> and cognition are key. Each reflect high-order aspects of health: they integrate a lot of information. This means that there are many ways to have mobility problems, for example: a sprained ankle, diabetic nerve damage, dehydration, heart failure, kidney damage or pneumonia. In consequence, these key domains are sensitive signs of health but are not very specific. It is the combination of impaired function and impaired mobility, which are commonly accompanied by several illnesses, that make it likely that someone is frail.  </w:t>
      </w:r>
    </w:p>
    <w:p w14:paraId="2ED1D963" w14:textId="77777777" w:rsidR="003E698F" w:rsidRDefault="003E698F" w:rsidP="007C568A">
      <w:r w:rsidRPr="003E698F">
        <w:rPr>
          <w:b/>
          <w:bCs/>
        </w:rPr>
        <w:t>Level 4 - Vulnerable</w:t>
      </w:r>
      <w:r w:rsidRPr="003E698F">
        <w:t xml:space="preserve"> is characterized by the person who, although not totally dependent, seems at risk. Incomplete symptom control and a reduction in demanding activities, such as heavy housework, lifting, or climbing more than a flight of stairs are useful signs. Although these activities might still be attempted, commonly they are not done as well or as often. Many people at this stage simply do not feel all that </w:t>
      </w:r>
      <w:proofErr w:type="gramStart"/>
      <w:r w:rsidRPr="003E698F">
        <w:t>well, and</w:t>
      </w:r>
      <w:proofErr w:type="gramEnd"/>
      <w:r w:rsidRPr="003E698F">
        <w:t xml:space="preserve"> might complain of being “slowed up”. When asked, “Compared to others of your own age, how would you rate your health?”, they will often rate their health as fair or poor.  </w:t>
      </w:r>
    </w:p>
    <w:p w14:paraId="438D84BB" w14:textId="77777777" w:rsidR="003E698F" w:rsidRDefault="003E698F" w:rsidP="007C568A">
      <w:r w:rsidRPr="003E698F">
        <w:t xml:space="preserve">Levels 5 to 7 relate to changes in function. Varying degrees of dependence in instrumental ADLs define </w:t>
      </w:r>
      <w:r w:rsidRPr="003E698F">
        <w:rPr>
          <w:b/>
          <w:bCs/>
        </w:rPr>
        <w:t>Level 5 – Mildly Frail</w:t>
      </w:r>
      <w:r w:rsidRPr="003E698F">
        <w:t xml:space="preserve">. At this level, typically, there is no more pretense of doing heavy housework or the like – items that began to be impaired in Level 4. A person doesn’t need to be dependent in all demanding activities to quality as Level 4, nor in all aspects of Instrumental ADLs to qualify as Level 5. We are interested in change: someone who never did the banking would not now be scored as dependent in that. With </w:t>
      </w:r>
      <w:r w:rsidRPr="003E698F">
        <w:rPr>
          <w:b/>
          <w:bCs/>
        </w:rPr>
        <w:t>Level 6 – Moderately Frail</w:t>
      </w:r>
      <w:r w:rsidRPr="003E698F">
        <w:t xml:space="preserve">, dependence now extends past instrumental ADLs to intermediate ones, notably including bathing. Often at this level, minimal assistance with personal care might be needed. In </w:t>
      </w:r>
      <w:r w:rsidRPr="000C18EE">
        <w:rPr>
          <w:b/>
          <w:bCs/>
        </w:rPr>
        <w:t>Level 7 – Severely Frail</w:t>
      </w:r>
      <w:r w:rsidRPr="003E698F">
        <w:t xml:space="preserve"> there is progressive dependence in personal ADLs. People do not need to be dependent in every aspect of personal care to be scored as Level 7. When assessing functional dependence in intermediate (Level 6) and personal (Level 7) ADLs, lifelong habit is a less relevant consideration: most everyone needs to bathe, </w:t>
      </w:r>
      <w:proofErr w:type="gramStart"/>
      <w:r w:rsidRPr="003E698F">
        <w:t>groom</w:t>
      </w:r>
      <w:proofErr w:type="gramEnd"/>
      <w:r w:rsidRPr="003E698F">
        <w:t xml:space="preserve"> and use the toilet. </w:t>
      </w:r>
    </w:p>
    <w:p w14:paraId="2729C4A4" w14:textId="77777777" w:rsidR="000C18EE" w:rsidRDefault="003E698F" w:rsidP="007C568A">
      <w:r w:rsidRPr="000C18EE">
        <w:rPr>
          <w:b/>
          <w:bCs/>
        </w:rPr>
        <w:t>Level 8 – Very Severe Frailty</w:t>
      </w:r>
      <w:r w:rsidRPr="003E698F">
        <w:t xml:space="preserve"> is the not uncommon state in which a frail person takes to bed, often for weeks, prior to dying. This is either heralded by an identifiable episode, such as an infection, or the person just slips away, commonly after some days of reduced oral intake. Very severely frail people who die without a single apparent cause typically follow such a trajectory, commonly without much pain or even </w:t>
      </w:r>
      <w:proofErr w:type="gramStart"/>
      <w:r w:rsidRPr="003E698F">
        <w:t>distress;</w:t>
      </w:r>
      <w:proofErr w:type="gramEnd"/>
      <w:r w:rsidRPr="003E698F">
        <w:t xml:space="preserve"> often with the exception of impaired bowel function, even without opiates. </w:t>
      </w:r>
      <w:r w:rsidRPr="000C18EE">
        <w:rPr>
          <w:b/>
          <w:bCs/>
        </w:rPr>
        <w:t>Level 9 – Terminally Ill</w:t>
      </w:r>
      <w:r w:rsidRPr="003E698F">
        <w:t xml:space="preserve"> is the only level in which the current state trumps the baseline state, in that the terminally ill person might have been operating at various frailty levels at baseline. The person is pictured seated in a chair. Many older adults who are dying with single system illness – notably cancer – have a reasonable level of function until about the very end, and that is why we portray the situation in that way. Even so, if a terminally ill person was bedfast, they would still be scored as Level 9.  Within each level, individuals will vary. About 80% or more of people will fit the description offered for a given level. If they fit two categories equally well, it is best to score the scale at the higher or more dependent level.</w:t>
      </w:r>
    </w:p>
    <w:p w14:paraId="08697EBB" w14:textId="77777777" w:rsidR="000C18EE" w:rsidRDefault="000C18EE">
      <w:r>
        <w:br w:type="page"/>
      </w:r>
    </w:p>
    <w:p w14:paraId="522F736C" w14:textId="77777777" w:rsidR="000C18EE" w:rsidRDefault="000C18EE"/>
    <w:p w14:paraId="016BC583" w14:textId="77777777" w:rsidR="007F4704" w:rsidRDefault="000C18EE" w:rsidP="00B76CCD">
      <w:pPr>
        <w:jc w:val="center"/>
      </w:pPr>
      <w:r>
        <w:rPr>
          <w:noProof/>
          <w14:ligatures w14:val="standardContextual"/>
        </w:rPr>
        <w:drawing>
          <wp:inline distT="0" distB="0" distL="0" distR="0" wp14:anchorId="181E7E86" wp14:editId="64E893EC">
            <wp:extent cx="5904762" cy="7884105"/>
            <wp:effectExtent l="0" t="0" r="1270" b="3175"/>
            <wp:docPr id="840240442" name="Picture 1" descr="A pos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0442" name="Picture 1" descr="A poster with text overlay&#10;&#10;Description automatically generated"/>
                    <pic:cNvPicPr/>
                  </pic:nvPicPr>
                  <pic:blipFill>
                    <a:blip r:embed="rId11"/>
                    <a:stretch>
                      <a:fillRect/>
                    </a:stretch>
                  </pic:blipFill>
                  <pic:spPr>
                    <a:xfrm>
                      <a:off x="0" y="0"/>
                      <a:ext cx="5918943" cy="7903040"/>
                    </a:xfrm>
                    <a:prstGeom prst="rect">
                      <a:avLst/>
                    </a:prstGeom>
                  </pic:spPr>
                </pic:pic>
              </a:graphicData>
            </a:graphic>
          </wp:inline>
        </w:drawing>
      </w:r>
    </w:p>
    <w:p w14:paraId="1E84ECD0" w14:textId="77777777" w:rsidR="007F4704" w:rsidRDefault="007F4704">
      <w:r>
        <w:br w:type="page"/>
      </w:r>
      <w:r>
        <w:rPr>
          <w:noProof/>
        </w:rPr>
        <w:lastRenderedPageBreak/>
        <w:drawing>
          <wp:inline distT="0" distB="0" distL="0" distR="0" wp14:anchorId="497FBC3F" wp14:editId="44658BDC">
            <wp:extent cx="6858000" cy="8876665"/>
            <wp:effectExtent l="0" t="0" r="0" b="635"/>
            <wp:docPr id="213304533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5333" name="Picture 1" descr="A diagram of a flow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6665"/>
                    </a:xfrm>
                    <a:prstGeom prst="rect">
                      <a:avLst/>
                    </a:prstGeom>
                    <a:noFill/>
                    <a:ln>
                      <a:noFill/>
                    </a:ln>
                  </pic:spPr>
                </pic:pic>
              </a:graphicData>
            </a:graphic>
          </wp:inline>
        </w:drawing>
      </w:r>
    </w:p>
    <w:p w14:paraId="6C7DA035" w14:textId="77777777" w:rsidR="007F4704" w:rsidRDefault="007F4704" w:rsidP="004A0884">
      <w:pPr>
        <w:pStyle w:val="Heading1"/>
        <w:spacing w:before="0" w:line="240" w:lineRule="auto"/>
        <w:rPr>
          <w:b/>
          <w:bCs/>
          <w:color w:val="990033"/>
        </w:rPr>
      </w:pPr>
    </w:p>
    <w:p w14:paraId="2A7802E2" w14:textId="77777777" w:rsidR="006B2109" w:rsidRDefault="006B2109" w:rsidP="004A0884">
      <w:pPr>
        <w:pStyle w:val="Heading1"/>
        <w:spacing w:before="0" w:line="240" w:lineRule="auto"/>
        <w:rPr>
          <w:b/>
          <w:bCs/>
          <w:color w:val="990033"/>
        </w:rPr>
      </w:pPr>
      <w:r>
        <w:rPr>
          <w:b/>
          <w:bCs/>
          <w:color w:val="990033"/>
        </w:rPr>
        <w:t>Clinical Frailty Scale App:</w:t>
      </w:r>
    </w:p>
    <w:p w14:paraId="59137071" w14:textId="77777777" w:rsidR="006B2109" w:rsidRDefault="006B2109" w:rsidP="006B2109">
      <w:r>
        <w:t>Developed by the Acute Frailty Network in the UK</w:t>
      </w:r>
    </w:p>
    <w:p w14:paraId="59CD7ECF" w14:textId="77777777" w:rsidR="006B2109" w:rsidRDefault="006B2109" w:rsidP="006B2109"/>
    <w:p w14:paraId="3B86AA49" w14:textId="77777777" w:rsidR="006B2109" w:rsidRPr="006B2109" w:rsidRDefault="006B2109" w:rsidP="006B2109">
      <w:r>
        <w:rPr>
          <w:rFonts w:eastAsia="Times New Roman"/>
        </w:rPr>
        <w:t xml:space="preserve">         </w:t>
      </w:r>
      <w:r>
        <w:rPr>
          <w:rFonts w:eastAsia="Times New Roman"/>
          <w:noProof/>
        </w:rPr>
        <w:drawing>
          <wp:inline distT="0" distB="0" distL="0" distR="0" wp14:anchorId="06B36200" wp14:editId="2AC33CC5">
            <wp:extent cx="3010313" cy="3781287"/>
            <wp:effectExtent l="19050" t="19050" r="19050" b="10160"/>
            <wp:docPr id="173145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43997" cy="3823597"/>
                    </a:xfrm>
                    <a:prstGeom prst="rect">
                      <a:avLst/>
                    </a:prstGeom>
                    <a:noFill/>
                    <a:ln>
                      <a:solidFill>
                        <a:schemeClr val="bg1">
                          <a:lumMod val="65000"/>
                        </a:schemeClr>
                      </a:solidFill>
                    </a:ln>
                  </pic:spPr>
                </pic:pic>
              </a:graphicData>
            </a:graphic>
          </wp:inline>
        </w:drawing>
      </w:r>
      <w:r w:rsidRPr="006B2109">
        <w:rPr>
          <w:rFonts w:eastAsia="Times New Roman"/>
        </w:rPr>
        <w:t xml:space="preserve"> </w:t>
      </w:r>
      <w:r>
        <w:rPr>
          <w:rFonts w:eastAsia="Times New Roman"/>
        </w:rPr>
        <w:t xml:space="preserve">                              </w:t>
      </w:r>
      <w:r>
        <w:rPr>
          <w:rFonts w:eastAsia="Times New Roman"/>
          <w:noProof/>
        </w:rPr>
        <w:drawing>
          <wp:inline distT="0" distB="0" distL="0" distR="0" wp14:anchorId="1EFF0FD6" wp14:editId="3A0F360C">
            <wp:extent cx="1945451" cy="3827118"/>
            <wp:effectExtent l="19050" t="19050" r="17145" b="21590"/>
            <wp:docPr id="1532153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55500" cy="3846887"/>
                    </a:xfrm>
                    <a:prstGeom prst="rect">
                      <a:avLst/>
                    </a:prstGeom>
                    <a:noFill/>
                    <a:ln>
                      <a:solidFill>
                        <a:schemeClr val="bg1">
                          <a:lumMod val="65000"/>
                        </a:schemeClr>
                      </a:solidFill>
                    </a:ln>
                  </pic:spPr>
                </pic:pic>
              </a:graphicData>
            </a:graphic>
          </wp:inline>
        </w:drawing>
      </w:r>
    </w:p>
    <w:p w14:paraId="383F7941" w14:textId="77777777" w:rsidR="006B2109" w:rsidRDefault="006B2109">
      <w:pPr>
        <w:rPr>
          <w:rFonts w:asciiTheme="majorHAnsi" w:eastAsiaTheme="majorEastAsia" w:hAnsiTheme="majorHAnsi" w:cstheme="majorBidi"/>
          <w:b/>
          <w:bCs/>
          <w:color w:val="990033"/>
          <w:sz w:val="32"/>
          <w:szCs w:val="32"/>
        </w:rPr>
      </w:pPr>
      <w:r>
        <w:rPr>
          <w:b/>
          <w:bCs/>
          <w:color w:val="990033"/>
        </w:rPr>
        <w:br w:type="page"/>
      </w:r>
    </w:p>
    <w:p w14:paraId="761B7812" w14:textId="77777777" w:rsidR="00C82CFD" w:rsidRDefault="00C82CFD" w:rsidP="004A0884">
      <w:pPr>
        <w:pStyle w:val="Heading1"/>
        <w:spacing w:before="0" w:line="240" w:lineRule="auto"/>
        <w:rPr>
          <w:b/>
          <w:bCs/>
          <w:color w:val="990033"/>
        </w:rPr>
      </w:pPr>
    </w:p>
    <w:p w14:paraId="16DA32FE" w14:textId="77777777" w:rsidR="004A0884" w:rsidRDefault="004A0884" w:rsidP="004A0884">
      <w:pPr>
        <w:pStyle w:val="Heading1"/>
        <w:spacing w:before="0" w:line="240" w:lineRule="auto"/>
        <w:rPr>
          <w:b/>
          <w:bCs/>
          <w:color w:val="990033"/>
        </w:rPr>
      </w:pPr>
      <w:r>
        <w:rPr>
          <w:b/>
          <w:bCs/>
          <w:color w:val="990033"/>
        </w:rPr>
        <w:t>References:</w:t>
      </w:r>
      <w:r>
        <w:rPr>
          <w:b/>
          <w:bCs/>
          <w:color w:val="990033"/>
        </w:rPr>
        <w:br/>
      </w:r>
    </w:p>
    <w:p w14:paraId="4BE2F5D7" w14:textId="77777777" w:rsidR="004A0884" w:rsidRPr="004A0884" w:rsidRDefault="004A0884" w:rsidP="004A0884">
      <w:r w:rsidRPr="004A0884">
        <w:t>Rockwood K, Song X, MacKnight C, Bergman H, Hogan DB, McDowell I, Mitnitski A. </w:t>
      </w:r>
      <w:hyperlink r:id="rId17" w:tgtFrame="_blank" w:history="1">
        <w:r w:rsidRPr="004A0884">
          <w:rPr>
            <w:rStyle w:val="Hyperlink"/>
          </w:rPr>
          <w:t>A global clinical measure of fitness and frailty in elderly people.</w:t>
        </w:r>
      </w:hyperlink>
      <w:r w:rsidRPr="004A0884">
        <w:t> </w:t>
      </w:r>
      <w:r w:rsidRPr="004A0884">
        <w:rPr>
          <w:i/>
          <w:iCs/>
        </w:rPr>
        <w:t>CMAJ.</w:t>
      </w:r>
      <w:r w:rsidRPr="004A0884">
        <w:t> 2005;173(5):489-495.</w:t>
      </w:r>
    </w:p>
    <w:p w14:paraId="5CFE2274" w14:textId="77777777" w:rsidR="004A0884" w:rsidRPr="004A0884" w:rsidRDefault="004A0884" w:rsidP="004A0884">
      <w:r w:rsidRPr="004A0884">
        <w:t>Pulok MH, Theou O, van der Valk AM, Rockwood K. </w:t>
      </w:r>
      <w:hyperlink r:id="rId18" w:tgtFrame="_blank" w:history="1">
        <w:r w:rsidRPr="004A0884">
          <w:rPr>
            <w:rStyle w:val="Hyperlink"/>
          </w:rPr>
          <w:t>The role of illness acuity on the association between frailty and mortality in emergency department patients referred to internal medicine</w:t>
        </w:r>
      </w:hyperlink>
      <w:r w:rsidRPr="004A0884">
        <w:t>. </w:t>
      </w:r>
      <w:r w:rsidRPr="004A0884">
        <w:rPr>
          <w:i/>
          <w:iCs/>
        </w:rPr>
        <w:t>Age Ageing.</w:t>
      </w:r>
      <w:r w:rsidRPr="004A0884">
        <w:t> 2020;49(6):1071-1079.  </w:t>
      </w:r>
    </w:p>
    <w:p w14:paraId="1C7CA4D1" w14:textId="77777777" w:rsidR="004A0884" w:rsidRDefault="004A0884" w:rsidP="004A0884">
      <w:r w:rsidRPr="004A0884">
        <w:t>Rockwood K, Theou O. </w:t>
      </w:r>
      <w:hyperlink r:id="rId19" w:tgtFrame="_blank" w:history="1">
        <w:r w:rsidRPr="004A0884">
          <w:rPr>
            <w:rStyle w:val="Hyperlink"/>
          </w:rPr>
          <w:t>Using the Clinical Frailty Scale in Allocating Scarce Health Care Resources</w:t>
        </w:r>
      </w:hyperlink>
      <w:r w:rsidRPr="004A0884">
        <w:t>. </w:t>
      </w:r>
      <w:r w:rsidRPr="004A0884">
        <w:rPr>
          <w:i/>
          <w:iCs/>
        </w:rPr>
        <w:t>Can Geriatr J</w:t>
      </w:r>
      <w:r w:rsidRPr="004A0884">
        <w:t>. 2020:23(3):210-215.</w:t>
      </w:r>
    </w:p>
    <w:p w14:paraId="74CBB63F" w14:textId="77777777" w:rsidR="00C82CFD" w:rsidRDefault="00C82CFD" w:rsidP="00C82CFD">
      <w:pPr>
        <w:pStyle w:val="NormalWeb"/>
        <w:shd w:val="clear" w:color="auto" w:fill="FFFFFF"/>
        <w:spacing w:before="0" w:beforeAutospacing="0" w:after="0" w:afterAutospacing="0"/>
        <w:ind w:right="240"/>
        <w:textAlignment w:val="baseline"/>
        <w:rPr>
          <w:rFonts w:ascii="Arial" w:hAnsi="Arial" w:cs="Arial"/>
          <w:color w:val="242424"/>
          <w:sz w:val="21"/>
          <w:szCs w:val="21"/>
        </w:rPr>
      </w:pPr>
      <w:r>
        <w:rPr>
          <w:rFonts w:ascii="Arial" w:hAnsi="Arial" w:cs="Arial"/>
          <w:color w:val="242424"/>
          <w:sz w:val="21"/>
          <w:szCs w:val="21"/>
        </w:rPr>
        <w:t>Theou O, Pérez-Zepeda MU, van der Valk AM, Searle SD, Howlett SE, Rockwood K. </w:t>
      </w:r>
      <w:hyperlink r:id="rId20" w:tgtFrame="_blank" w:history="1">
        <w:r>
          <w:rPr>
            <w:rStyle w:val="Hyperlink"/>
            <w:rFonts w:ascii="Arial" w:hAnsi="Arial" w:cs="Arial"/>
            <w:color w:val="627AAD"/>
            <w:sz w:val="21"/>
            <w:szCs w:val="21"/>
            <w:bdr w:val="none" w:sz="0" w:space="0" w:color="auto" w:frame="1"/>
          </w:rPr>
          <w:t>A classification tree to assist with routine scoring of the Clinical Frailty Scale.</w:t>
        </w:r>
      </w:hyperlink>
      <w:r>
        <w:rPr>
          <w:rFonts w:ascii="Arial" w:hAnsi="Arial" w:cs="Arial"/>
          <w:color w:val="242424"/>
          <w:sz w:val="21"/>
          <w:szCs w:val="21"/>
        </w:rPr>
        <w:t> </w:t>
      </w:r>
      <w:r>
        <w:rPr>
          <w:rFonts w:ascii="Arial" w:hAnsi="Arial" w:cs="Arial"/>
          <w:i/>
          <w:iCs/>
          <w:color w:val="242424"/>
          <w:sz w:val="21"/>
          <w:szCs w:val="21"/>
        </w:rPr>
        <w:t>Age Ageing</w:t>
      </w:r>
      <w:r>
        <w:rPr>
          <w:rFonts w:ascii="Arial" w:hAnsi="Arial" w:cs="Arial"/>
          <w:color w:val="242424"/>
          <w:sz w:val="21"/>
          <w:szCs w:val="21"/>
        </w:rPr>
        <w:t xml:space="preserve">. </w:t>
      </w:r>
      <w:proofErr w:type="gramStart"/>
      <w:r>
        <w:rPr>
          <w:rFonts w:ascii="Arial" w:hAnsi="Arial" w:cs="Arial"/>
          <w:color w:val="242424"/>
          <w:sz w:val="21"/>
          <w:szCs w:val="21"/>
        </w:rPr>
        <w:t>2021;50:1406</w:t>
      </w:r>
      <w:proofErr w:type="gramEnd"/>
      <w:r>
        <w:rPr>
          <w:rFonts w:ascii="Arial" w:hAnsi="Arial" w:cs="Arial"/>
          <w:color w:val="242424"/>
          <w:sz w:val="21"/>
          <w:szCs w:val="21"/>
        </w:rPr>
        <w:t>-1411.</w:t>
      </w:r>
    </w:p>
    <w:p w14:paraId="461B844D" w14:textId="77777777" w:rsidR="00C82CFD" w:rsidRPr="004A0884" w:rsidRDefault="00C82CFD" w:rsidP="004A0884"/>
    <w:p w14:paraId="28AF49BA" w14:textId="77777777" w:rsidR="004A0884" w:rsidRPr="004A0884" w:rsidRDefault="004A0884" w:rsidP="004A0884"/>
    <w:p w14:paraId="67AC308C" w14:textId="77777777" w:rsidR="00E45D69" w:rsidRDefault="00E45D69"/>
    <w:sectPr w:rsidR="00E45D69" w:rsidSect="00B3289B">
      <w:headerReference w:type="default" r:id="rId21"/>
      <w:footerReference w:type="default" r:id="rId22"/>
      <w:pgSz w:w="12240" w:h="15840"/>
      <w:pgMar w:top="432" w:right="720" w:bottom="432"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100FB" w14:textId="77777777" w:rsidR="00E45D69" w:rsidRDefault="00E45D69" w:rsidP="00E45D69">
      <w:pPr>
        <w:spacing w:after="0" w:line="240" w:lineRule="auto"/>
      </w:pPr>
      <w:r>
        <w:separator/>
      </w:r>
    </w:p>
  </w:endnote>
  <w:endnote w:type="continuationSeparator" w:id="0">
    <w:p w14:paraId="6096F7E9" w14:textId="77777777" w:rsidR="00E45D69" w:rsidRDefault="00E45D69" w:rsidP="00E4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B55A" w14:textId="77777777" w:rsidR="00B76CCD" w:rsidRDefault="00B76CCD">
    <w:pPr>
      <w:pStyle w:val="Footer"/>
    </w:pPr>
    <w:r>
      <w:t xml:space="preserve">Subject to revision.  Last updated </w:t>
    </w:r>
    <w:r w:rsidR="00354968">
      <w:t>1/</w:t>
    </w:r>
    <w:r w:rsidR="00DE64BF">
      <w:t>9</w:t>
    </w:r>
    <w:r w:rsidR="00354968">
      <w:t>/2024</w:t>
    </w:r>
  </w:p>
  <w:p w14:paraId="777D15F5" w14:textId="77777777" w:rsidR="00B76CCD" w:rsidRDefault="00B7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70A04" w14:textId="77777777" w:rsidR="00E45D69" w:rsidRDefault="00E45D69" w:rsidP="00E45D69">
      <w:pPr>
        <w:spacing w:after="0" w:line="240" w:lineRule="auto"/>
      </w:pPr>
      <w:r>
        <w:separator/>
      </w:r>
    </w:p>
  </w:footnote>
  <w:footnote w:type="continuationSeparator" w:id="0">
    <w:p w14:paraId="492756B7" w14:textId="77777777" w:rsidR="00E45D69" w:rsidRDefault="00E45D69" w:rsidP="00E45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F271" w14:textId="77777777" w:rsidR="00E45D69" w:rsidRPr="00393C39" w:rsidRDefault="00E45D69" w:rsidP="00E45D69">
    <w:pPr>
      <w:pStyle w:val="Header"/>
      <w:jc w:val="center"/>
      <w:rPr>
        <w:b/>
        <w:bCs/>
        <w:color w:val="000000" w:themeColor="text1"/>
        <w:sz w:val="28"/>
        <w:szCs w:val="28"/>
      </w:rPr>
    </w:pPr>
    <w:r w:rsidRPr="00393C39">
      <w:rPr>
        <w:b/>
        <w:bCs/>
        <w:color w:val="000000" w:themeColor="text1"/>
        <w:sz w:val="28"/>
        <w:szCs w:val="28"/>
      </w:rPr>
      <w:t>Michigan Society of Thoracic and Cardiovascular Surgeons Quality Collaborative</w:t>
    </w:r>
  </w:p>
  <w:p w14:paraId="6956A58D" w14:textId="77777777" w:rsidR="00E45D69" w:rsidRPr="00E45D69" w:rsidRDefault="00E45D69" w:rsidP="00E45D69">
    <w:pPr>
      <w:pStyle w:val="Header"/>
      <w:jc w:val="center"/>
      <w:rPr>
        <w:color w:val="000000" w:themeColor="text1"/>
        <w:sz w:val="24"/>
        <w:szCs w:val="24"/>
      </w:rPr>
    </w:pPr>
    <w:r>
      <w:rPr>
        <w:color w:val="000000" w:themeColor="text1"/>
        <w:sz w:val="24"/>
        <w:szCs w:val="24"/>
      </w:rPr>
      <w:t>Clinical Frailty Scale Measurement Description and Frequently Asked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D254D"/>
    <w:multiLevelType w:val="hybridMultilevel"/>
    <w:tmpl w:val="B024DBF8"/>
    <w:lvl w:ilvl="0" w:tplc="0464D6E0">
      <w:start w:val="1"/>
      <w:numFmt w:val="decimal"/>
      <w:lvlText w:val="%1."/>
      <w:lvlJc w:val="left"/>
      <w:pPr>
        <w:ind w:left="467" w:hanging="200"/>
      </w:pPr>
      <w:rPr>
        <w:rFonts w:ascii="Calibri" w:eastAsia="Calibri" w:hAnsi="Calibri" w:cs="Calibri"/>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334C4"/>
    <w:multiLevelType w:val="hybridMultilevel"/>
    <w:tmpl w:val="55DE7F32"/>
    <w:lvl w:ilvl="0" w:tplc="0409000F">
      <w:start w:val="1"/>
      <w:numFmt w:val="decimal"/>
      <w:lvlText w:val="%1."/>
      <w:lvlJc w:val="left"/>
      <w:pPr>
        <w:ind w:left="1601" w:hanging="360"/>
      </w:p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 w15:restartNumberingAfterBreak="0">
    <w:nsid w:val="442201C6"/>
    <w:multiLevelType w:val="hybridMultilevel"/>
    <w:tmpl w:val="6F0C886A"/>
    <w:lvl w:ilvl="0" w:tplc="ABB867C8">
      <w:start w:val="1"/>
      <w:numFmt w:val="decimal"/>
      <w:lvlText w:val="%1."/>
      <w:lvlJc w:val="left"/>
      <w:pPr>
        <w:ind w:left="679" w:hanging="361"/>
      </w:pPr>
      <w:rPr>
        <w:rFonts w:ascii="Calibri" w:eastAsia="Calibri" w:hAnsi="Calibri" w:cs="Calibri" w:hint="default"/>
        <w:w w:val="100"/>
        <w:sz w:val="22"/>
        <w:szCs w:val="22"/>
      </w:rPr>
    </w:lvl>
    <w:lvl w:ilvl="1" w:tplc="FF02A264">
      <w:numFmt w:val="bullet"/>
      <w:lvlText w:val="•"/>
      <w:lvlJc w:val="left"/>
      <w:pPr>
        <w:ind w:left="1559" w:hanging="361"/>
      </w:pPr>
      <w:rPr>
        <w:rFonts w:hint="default"/>
      </w:rPr>
    </w:lvl>
    <w:lvl w:ilvl="2" w:tplc="6F1E37DA">
      <w:numFmt w:val="bullet"/>
      <w:lvlText w:val="•"/>
      <w:lvlJc w:val="left"/>
      <w:pPr>
        <w:ind w:left="2439" w:hanging="361"/>
      </w:pPr>
      <w:rPr>
        <w:rFonts w:hint="default"/>
      </w:rPr>
    </w:lvl>
    <w:lvl w:ilvl="3" w:tplc="16E0D4B8">
      <w:numFmt w:val="bullet"/>
      <w:lvlText w:val="•"/>
      <w:lvlJc w:val="left"/>
      <w:pPr>
        <w:ind w:left="3319" w:hanging="361"/>
      </w:pPr>
      <w:rPr>
        <w:rFonts w:hint="default"/>
      </w:rPr>
    </w:lvl>
    <w:lvl w:ilvl="4" w:tplc="408E0820">
      <w:numFmt w:val="bullet"/>
      <w:lvlText w:val="•"/>
      <w:lvlJc w:val="left"/>
      <w:pPr>
        <w:ind w:left="4199" w:hanging="361"/>
      </w:pPr>
      <w:rPr>
        <w:rFonts w:hint="default"/>
      </w:rPr>
    </w:lvl>
    <w:lvl w:ilvl="5" w:tplc="F5F8BBA4">
      <w:numFmt w:val="bullet"/>
      <w:lvlText w:val="•"/>
      <w:lvlJc w:val="left"/>
      <w:pPr>
        <w:ind w:left="5079" w:hanging="361"/>
      </w:pPr>
      <w:rPr>
        <w:rFonts w:hint="default"/>
      </w:rPr>
    </w:lvl>
    <w:lvl w:ilvl="6" w:tplc="143EF124">
      <w:numFmt w:val="bullet"/>
      <w:lvlText w:val="•"/>
      <w:lvlJc w:val="left"/>
      <w:pPr>
        <w:ind w:left="5959" w:hanging="361"/>
      </w:pPr>
      <w:rPr>
        <w:rFonts w:hint="default"/>
      </w:rPr>
    </w:lvl>
    <w:lvl w:ilvl="7" w:tplc="70C6D5CE">
      <w:numFmt w:val="bullet"/>
      <w:lvlText w:val="•"/>
      <w:lvlJc w:val="left"/>
      <w:pPr>
        <w:ind w:left="6839" w:hanging="361"/>
      </w:pPr>
      <w:rPr>
        <w:rFonts w:hint="default"/>
      </w:rPr>
    </w:lvl>
    <w:lvl w:ilvl="8" w:tplc="BA3644CC">
      <w:numFmt w:val="bullet"/>
      <w:lvlText w:val="•"/>
      <w:lvlJc w:val="left"/>
      <w:pPr>
        <w:ind w:left="7719" w:hanging="361"/>
      </w:pPr>
      <w:rPr>
        <w:rFonts w:hint="default"/>
      </w:rPr>
    </w:lvl>
  </w:abstractNum>
  <w:abstractNum w:abstractNumId="3" w15:restartNumberingAfterBreak="0">
    <w:nsid w:val="60561A9D"/>
    <w:multiLevelType w:val="hybridMultilevel"/>
    <w:tmpl w:val="8CF03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C74627"/>
    <w:multiLevelType w:val="hybridMultilevel"/>
    <w:tmpl w:val="0690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7075A1"/>
    <w:multiLevelType w:val="hybridMultilevel"/>
    <w:tmpl w:val="6AF4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B63F86"/>
    <w:multiLevelType w:val="hybridMultilevel"/>
    <w:tmpl w:val="905206FA"/>
    <w:lvl w:ilvl="0" w:tplc="FE2EE35A">
      <w:start w:val="1"/>
      <w:numFmt w:val="decimal"/>
      <w:lvlText w:val="%1."/>
      <w:lvlJc w:val="left"/>
      <w:pPr>
        <w:ind w:left="880" w:hanging="361"/>
      </w:pPr>
      <w:rPr>
        <w:rFonts w:ascii="Calibri" w:eastAsia="Calibri" w:hAnsi="Calibri" w:cs="Calibri" w:hint="default"/>
        <w:w w:val="100"/>
        <w:sz w:val="22"/>
        <w:szCs w:val="22"/>
      </w:rPr>
    </w:lvl>
    <w:lvl w:ilvl="1" w:tplc="8A685A00">
      <w:numFmt w:val="bullet"/>
      <w:lvlText w:val="•"/>
      <w:lvlJc w:val="left"/>
      <w:pPr>
        <w:ind w:left="1760" w:hanging="361"/>
      </w:pPr>
      <w:rPr>
        <w:rFonts w:hint="default"/>
      </w:rPr>
    </w:lvl>
    <w:lvl w:ilvl="2" w:tplc="3692F264">
      <w:numFmt w:val="bullet"/>
      <w:lvlText w:val="•"/>
      <w:lvlJc w:val="left"/>
      <w:pPr>
        <w:ind w:left="2640" w:hanging="361"/>
      </w:pPr>
      <w:rPr>
        <w:rFonts w:hint="default"/>
      </w:rPr>
    </w:lvl>
    <w:lvl w:ilvl="3" w:tplc="664E394E">
      <w:numFmt w:val="bullet"/>
      <w:lvlText w:val="•"/>
      <w:lvlJc w:val="left"/>
      <w:pPr>
        <w:ind w:left="3520" w:hanging="361"/>
      </w:pPr>
      <w:rPr>
        <w:rFonts w:hint="default"/>
      </w:rPr>
    </w:lvl>
    <w:lvl w:ilvl="4" w:tplc="BC2EEB56">
      <w:numFmt w:val="bullet"/>
      <w:lvlText w:val="•"/>
      <w:lvlJc w:val="left"/>
      <w:pPr>
        <w:ind w:left="4400" w:hanging="361"/>
      </w:pPr>
      <w:rPr>
        <w:rFonts w:hint="default"/>
      </w:rPr>
    </w:lvl>
    <w:lvl w:ilvl="5" w:tplc="CD84BB32">
      <w:numFmt w:val="bullet"/>
      <w:lvlText w:val="•"/>
      <w:lvlJc w:val="left"/>
      <w:pPr>
        <w:ind w:left="5280" w:hanging="361"/>
      </w:pPr>
      <w:rPr>
        <w:rFonts w:hint="default"/>
      </w:rPr>
    </w:lvl>
    <w:lvl w:ilvl="6" w:tplc="FBCA1CD0">
      <w:numFmt w:val="bullet"/>
      <w:lvlText w:val="•"/>
      <w:lvlJc w:val="left"/>
      <w:pPr>
        <w:ind w:left="6160" w:hanging="361"/>
      </w:pPr>
      <w:rPr>
        <w:rFonts w:hint="default"/>
      </w:rPr>
    </w:lvl>
    <w:lvl w:ilvl="7" w:tplc="AD58AD26">
      <w:numFmt w:val="bullet"/>
      <w:lvlText w:val="•"/>
      <w:lvlJc w:val="left"/>
      <w:pPr>
        <w:ind w:left="7040" w:hanging="361"/>
      </w:pPr>
      <w:rPr>
        <w:rFonts w:hint="default"/>
      </w:rPr>
    </w:lvl>
    <w:lvl w:ilvl="8" w:tplc="321A78C0">
      <w:numFmt w:val="bullet"/>
      <w:lvlText w:val="•"/>
      <w:lvlJc w:val="left"/>
      <w:pPr>
        <w:ind w:left="7920" w:hanging="361"/>
      </w:pPr>
      <w:rPr>
        <w:rFonts w:hint="default"/>
      </w:rPr>
    </w:lvl>
  </w:abstractNum>
  <w:num w:numId="1" w16cid:durableId="1943031619">
    <w:abstractNumId w:val="4"/>
  </w:num>
  <w:num w:numId="2" w16cid:durableId="128213543">
    <w:abstractNumId w:val="5"/>
  </w:num>
  <w:num w:numId="3" w16cid:durableId="1379088766">
    <w:abstractNumId w:val="3"/>
  </w:num>
  <w:num w:numId="4" w16cid:durableId="1962177466">
    <w:abstractNumId w:val="6"/>
  </w:num>
  <w:num w:numId="5" w16cid:durableId="495727717">
    <w:abstractNumId w:val="0"/>
  </w:num>
  <w:num w:numId="6" w16cid:durableId="624383953">
    <w:abstractNumId w:val="2"/>
  </w:num>
  <w:num w:numId="7" w16cid:durableId="2094156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D69"/>
    <w:rsid w:val="00097BFF"/>
    <w:rsid w:val="000C18EE"/>
    <w:rsid w:val="002661A1"/>
    <w:rsid w:val="002B7D5E"/>
    <w:rsid w:val="00304AB4"/>
    <w:rsid w:val="00354968"/>
    <w:rsid w:val="003840C3"/>
    <w:rsid w:val="003E698F"/>
    <w:rsid w:val="004873FE"/>
    <w:rsid w:val="004A0884"/>
    <w:rsid w:val="004C514A"/>
    <w:rsid w:val="00557AC8"/>
    <w:rsid w:val="00675CAB"/>
    <w:rsid w:val="006B2109"/>
    <w:rsid w:val="006D430B"/>
    <w:rsid w:val="00726552"/>
    <w:rsid w:val="007A0983"/>
    <w:rsid w:val="007C568A"/>
    <w:rsid w:val="007F4704"/>
    <w:rsid w:val="00876D4C"/>
    <w:rsid w:val="008E6A16"/>
    <w:rsid w:val="0092623C"/>
    <w:rsid w:val="0094083B"/>
    <w:rsid w:val="00A52E8F"/>
    <w:rsid w:val="00A56206"/>
    <w:rsid w:val="00B3289B"/>
    <w:rsid w:val="00B3715B"/>
    <w:rsid w:val="00B76CCD"/>
    <w:rsid w:val="00BC372E"/>
    <w:rsid w:val="00C82CFD"/>
    <w:rsid w:val="00CC2B4F"/>
    <w:rsid w:val="00D04E86"/>
    <w:rsid w:val="00D252F3"/>
    <w:rsid w:val="00D37C79"/>
    <w:rsid w:val="00D60042"/>
    <w:rsid w:val="00DA48E2"/>
    <w:rsid w:val="00DC4A67"/>
    <w:rsid w:val="00DE64BF"/>
    <w:rsid w:val="00E45D69"/>
    <w:rsid w:val="00EF0A50"/>
    <w:rsid w:val="00F76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A163AF"/>
  <w15:chartTrackingRefBased/>
  <w15:docId w15:val="{DD635C37-104D-444A-8F1C-DDC77DCB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E8F"/>
    <w:rPr>
      <w:kern w:val="0"/>
      <w14:ligatures w14:val="none"/>
    </w:rPr>
  </w:style>
  <w:style w:type="paragraph" w:styleId="Heading1">
    <w:name w:val="heading 1"/>
    <w:basedOn w:val="Normal"/>
    <w:next w:val="Normal"/>
    <w:link w:val="Heading1Char"/>
    <w:uiPriority w:val="9"/>
    <w:qFormat/>
    <w:rsid w:val="00E45D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unhideWhenUsed/>
    <w:qFormat/>
    <w:rsid w:val="00B371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D69"/>
  </w:style>
  <w:style w:type="paragraph" w:styleId="Footer">
    <w:name w:val="footer"/>
    <w:basedOn w:val="Normal"/>
    <w:link w:val="FooterChar"/>
    <w:uiPriority w:val="99"/>
    <w:unhideWhenUsed/>
    <w:rsid w:val="00E45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D69"/>
  </w:style>
  <w:style w:type="character" w:customStyle="1" w:styleId="Heading1Char">
    <w:name w:val="Heading 1 Char"/>
    <w:basedOn w:val="DefaultParagraphFont"/>
    <w:link w:val="Heading1"/>
    <w:uiPriority w:val="9"/>
    <w:rsid w:val="00E45D69"/>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1"/>
    <w:qFormat/>
    <w:rsid w:val="00097BFF"/>
    <w:pPr>
      <w:ind w:left="720"/>
      <w:contextualSpacing/>
    </w:pPr>
  </w:style>
  <w:style w:type="character" w:styleId="Hyperlink">
    <w:name w:val="Hyperlink"/>
    <w:basedOn w:val="DefaultParagraphFont"/>
    <w:uiPriority w:val="99"/>
    <w:unhideWhenUsed/>
    <w:rsid w:val="0092623C"/>
    <w:rPr>
      <w:color w:val="0563C1" w:themeColor="hyperlink"/>
      <w:u w:val="single"/>
    </w:rPr>
  </w:style>
  <w:style w:type="character" w:styleId="UnresolvedMention">
    <w:name w:val="Unresolved Mention"/>
    <w:basedOn w:val="DefaultParagraphFont"/>
    <w:uiPriority w:val="99"/>
    <w:semiHidden/>
    <w:unhideWhenUsed/>
    <w:rsid w:val="0092623C"/>
    <w:rPr>
      <w:color w:val="605E5C"/>
      <w:shd w:val="clear" w:color="auto" w:fill="E1DFDD"/>
    </w:rPr>
  </w:style>
  <w:style w:type="character" w:styleId="FollowedHyperlink">
    <w:name w:val="FollowedHyperlink"/>
    <w:basedOn w:val="DefaultParagraphFont"/>
    <w:uiPriority w:val="99"/>
    <w:semiHidden/>
    <w:unhideWhenUsed/>
    <w:rsid w:val="007C568A"/>
    <w:rPr>
      <w:color w:val="954F72" w:themeColor="followedHyperlink"/>
      <w:u w:val="single"/>
    </w:rPr>
  </w:style>
  <w:style w:type="paragraph" w:styleId="NormalWeb">
    <w:name w:val="Normal (Web)"/>
    <w:basedOn w:val="Normal"/>
    <w:uiPriority w:val="99"/>
    <w:semiHidden/>
    <w:unhideWhenUsed/>
    <w:rsid w:val="00C82C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B3715B"/>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B3715B"/>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B3715B"/>
    <w:rPr>
      <w:rFonts w:ascii="Calibri" w:eastAsia="Calibri" w:hAnsi="Calibri" w:cs="Calibri"/>
      <w:kern w:val="0"/>
      <w14:ligatures w14:val="none"/>
    </w:rPr>
  </w:style>
  <w:style w:type="paragraph" w:customStyle="1" w:styleId="TableParagraph">
    <w:name w:val="Table Paragraph"/>
    <w:basedOn w:val="Normal"/>
    <w:uiPriority w:val="1"/>
    <w:qFormat/>
    <w:rsid w:val="00B3715B"/>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68960">
      <w:bodyDiv w:val="1"/>
      <w:marLeft w:val="0"/>
      <w:marRight w:val="0"/>
      <w:marTop w:val="0"/>
      <w:marBottom w:val="0"/>
      <w:divBdr>
        <w:top w:val="none" w:sz="0" w:space="0" w:color="auto"/>
        <w:left w:val="none" w:sz="0" w:space="0" w:color="auto"/>
        <w:bottom w:val="none" w:sz="0" w:space="0" w:color="auto"/>
        <w:right w:val="none" w:sz="0" w:space="0" w:color="auto"/>
      </w:divBdr>
    </w:div>
    <w:div w:id="473911573">
      <w:bodyDiv w:val="1"/>
      <w:marLeft w:val="0"/>
      <w:marRight w:val="0"/>
      <w:marTop w:val="0"/>
      <w:marBottom w:val="0"/>
      <w:divBdr>
        <w:top w:val="none" w:sz="0" w:space="0" w:color="auto"/>
        <w:left w:val="none" w:sz="0" w:space="0" w:color="auto"/>
        <w:bottom w:val="none" w:sz="0" w:space="0" w:color="auto"/>
        <w:right w:val="none" w:sz="0" w:space="0" w:color="auto"/>
      </w:divBdr>
    </w:div>
    <w:div w:id="891697168">
      <w:bodyDiv w:val="1"/>
      <w:marLeft w:val="0"/>
      <w:marRight w:val="0"/>
      <w:marTop w:val="0"/>
      <w:marBottom w:val="0"/>
      <w:divBdr>
        <w:top w:val="none" w:sz="0" w:space="0" w:color="auto"/>
        <w:left w:val="none" w:sz="0" w:space="0" w:color="auto"/>
        <w:bottom w:val="none" w:sz="0" w:space="0" w:color="auto"/>
        <w:right w:val="none" w:sz="0" w:space="0" w:color="auto"/>
      </w:divBdr>
    </w:div>
    <w:div w:id="1488784445">
      <w:bodyDiv w:val="1"/>
      <w:marLeft w:val="0"/>
      <w:marRight w:val="0"/>
      <w:marTop w:val="0"/>
      <w:marBottom w:val="0"/>
      <w:divBdr>
        <w:top w:val="none" w:sz="0" w:space="0" w:color="auto"/>
        <w:left w:val="none" w:sz="0" w:space="0" w:color="auto"/>
        <w:bottom w:val="none" w:sz="0" w:space="0" w:color="auto"/>
        <w:right w:val="none" w:sz="0" w:space="0" w:color="auto"/>
      </w:divBdr>
      <w:divsChild>
        <w:div w:id="1365447771">
          <w:marLeft w:val="0"/>
          <w:marRight w:val="0"/>
          <w:marTop w:val="0"/>
          <w:marBottom w:val="0"/>
          <w:divBdr>
            <w:top w:val="none" w:sz="0" w:space="0" w:color="auto"/>
            <w:left w:val="none" w:sz="0" w:space="0" w:color="auto"/>
            <w:bottom w:val="none" w:sz="0" w:space="0" w:color="auto"/>
            <w:right w:val="none" w:sz="0" w:space="0" w:color="auto"/>
          </w:divBdr>
          <w:divsChild>
            <w:div w:id="263851745">
              <w:marLeft w:val="0"/>
              <w:marRight w:val="0"/>
              <w:marTop w:val="1500"/>
              <w:marBottom w:val="0"/>
              <w:divBdr>
                <w:top w:val="none" w:sz="0" w:space="0" w:color="auto"/>
                <w:left w:val="none" w:sz="0" w:space="0" w:color="auto"/>
                <w:bottom w:val="none" w:sz="0" w:space="0" w:color="auto"/>
                <w:right w:val="none" w:sz="0" w:space="0" w:color="auto"/>
              </w:divBdr>
              <w:divsChild>
                <w:div w:id="119613089">
                  <w:marLeft w:val="0"/>
                  <w:marRight w:val="0"/>
                  <w:marTop w:val="0"/>
                  <w:marBottom w:val="0"/>
                  <w:divBdr>
                    <w:top w:val="none" w:sz="0" w:space="0" w:color="auto"/>
                    <w:left w:val="none" w:sz="0" w:space="0" w:color="auto"/>
                    <w:bottom w:val="none" w:sz="0" w:space="0" w:color="auto"/>
                    <w:right w:val="none" w:sz="0" w:space="0" w:color="auto"/>
                  </w:divBdr>
                  <w:divsChild>
                    <w:div w:id="2061781281">
                      <w:marLeft w:val="0"/>
                      <w:marRight w:val="4350"/>
                      <w:marTop w:val="0"/>
                      <w:marBottom w:val="0"/>
                      <w:divBdr>
                        <w:top w:val="none" w:sz="0" w:space="0" w:color="auto"/>
                        <w:left w:val="none" w:sz="0" w:space="0" w:color="auto"/>
                        <w:bottom w:val="none" w:sz="0" w:space="0" w:color="auto"/>
                        <w:right w:val="none" w:sz="0" w:space="0" w:color="auto"/>
                      </w:divBdr>
                      <w:divsChild>
                        <w:div w:id="462575285">
                          <w:marLeft w:val="0"/>
                          <w:marRight w:val="0"/>
                          <w:marTop w:val="0"/>
                          <w:marBottom w:val="0"/>
                          <w:divBdr>
                            <w:top w:val="none" w:sz="0" w:space="0" w:color="auto"/>
                            <w:left w:val="none" w:sz="0" w:space="0" w:color="auto"/>
                            <w:bottom w:val="none" w:sz="0" w:space="0" w:color="auto"/>
                            <w:right w:val="none" w:sz="0" w:space="0" w:color="auto"/>
                          </w:divBdr>
                          <w:divsChild>
                            <w:div w:id="21432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pubmed.ncbi.nlm.nih.gov/3239228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dal.ca/sites/gmr/our-tools/clinical-frailty-scale.html" TargetMode="External"/><Relationship Id="rId12" Type="http://schemas.openxmlformats.org/officeDocument/2006/relationships/image" Target="media/image4.jpeg"/><Relationship Id="rId17" Type="http://schemas.openxmlformats.org/officeDocument/2006/relationships/hyperlink" Target="http://www.cmaj.ca/content/173/5/489" TargetMode="External"/><Relationship Id="rId2" Type="http://schemas.openxmlformats.org/officeDocument/2006/relationships/styles" Target="styles.xml"/><Relationship Id="rId16" Type="http://schemas.openxmlformats.org/officeDocument/2006/relationships/image" Target="cid:c65c7968-feec-43af-84f9-3cfb855de6ae@namprd08.prod.outlook.com" TargetMode="External"/><Relationship Id="rId20" Type="http://schemas.openxmlformats.org/officeDocument/2006/relationships/hyperlink" Target="https://doi.org/10.1093/ageing/afab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ubmed.ncbi.nlm.nih.gov/32904824/" TargetMode="External"/><Relationship Id="rId4" Type="http://schemas.openxmlformats.org/officeDocument/2006/relationships/webSettings" Target="webSettings.xml"/><Relationship Id="rId9" Type="http://schemas.openxmlformats.org/officeDocument/2006/relationships/hyperlink" Target="https://cgjonline.ca/index.php/cgj/article/view/463/577" TargetMode="External"/><Relationship Id="rId14" Type="http://schemas.openxmlformats.org/officeDocument/2006/relationships/image" Target="cid:d85feb8c-bfa1-48fe-a26d-968318c5c307@namprd08.prod.outlook.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14</Pages>
  <Words>3680</Words>
  <Characters>20978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Michigan Medicine</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Melissa</dc:creator>
  <cp:keywords/>
  <dc:description/>
  <cp:lastModifiedBy>Clark, Melissa</cp:lastModifiedBy>
  <cp:revision>3</cp:revision>
  <dcterms:created xsi:type="dcterms:W3CDTF">2024-01-05T14:50:00Z</dcterms:created>
  <dcterms:modified xsi:type="dcterms:W3CDTF">2024-01-10T19:08:00Z</dcterms:modified>
</cp:coreProperties>
</file>